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9EEE23" w14:textId="77777777" w:rsidR="00BB0D1F" w:rsidRDefault="009D71E8" w:rsidP="00BB0D1F">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2D0AD8D" w:rsidR="00E66558" w:rsidRPr="00BB0D1F" w:rsidRDefault="009D71E8" w:rsidP="00BB0D1F">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90F87DD" w:rsidR="00E66558" w:rsidRDefault="00BB0D1F">
            <w:pPr>
              <w:pStyle w:val="TableRow"/>
            </w:pPr>
            <w:r>
              <w:t>Brinsworth Howarth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777777" w:rsidR="00E66558" w:rsidRDefault="00E66558">
            <w:pPr>
              <w:pStyle w:val="TableRow"/>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777777" w:rsidR="00E66558" w:rsidRDefault="00E66558">
            <w:pPr>
              <w:pStyle w:val="TableRow"/>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A7C6395" w:rsidR="00E66558" w:rsidRDefault="00BB0D1F">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10DF0B7" w:rsidR="00E66558" w:rsidRDefault="00BB0D1F">
            <w:pPr>
              <w:pStyle w:val="TableRow"/>
            </w:pPr>
            <w:r>
              <w:t>20</w:t>
            </w:r>
            <w:r w:rsidRPr="00BB0D1F">
              <w:rPr>
                <w:vertAlign w:val="superscript"/>
              </w:rPr>
              <w:t>th</w:t>
            </w:r>
            <w:r>
              <w:t xml:space="preserve"> 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5910A18" w:rsidR="00E66558" w:rsidRDefault="00BB0D1F">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100C50E" w:rsidR="00E66558" w:rsidRDefault="00BB0D1F">
            <w:pPr>
              <w:pStyle w:val="TableRow"/>
            </w:pPr>
            <w:r>
              <w:t>M Crawford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9953EC8" w:rsidR="00E66558" w:rsidRDefault="00BB0D1F">
            <w:pPr>
              <w:pStyle w:val="TableRow"/>
            </w:pPr>
            <w:r>
              <w:t>M Crawford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D14E57F" w:rsidR="00E66558" w:rsidRDefault="00BB0D1F">
            <w:pPr>
              <w:pStyle w:val="TableRow"/>
            </w:pPr>
            <w:r>
              <w:t>M Stubbs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613C1F3" w:rsidR="00E66558" w:rsidRDefault="009D71E8">
            <w:pPr>
              <w:pStyle w:val="TableRow"/>
            </w:pPr>
            <w:r>
              <w:t>£</w:t>
            </w:r>
            <w:r w:rsidR="004C2349">
              <w:t>57,800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707E77E" w:rsidR="00E66558" w:rsidRDefault="009D71E8">
            <w:pPr>
              <w:pStyle w:val="TableRow"/>
            </w:pPr>
            <w:r>
              <w:t>£</w:t>
            </w:r>
            <w:r w:rsidR="004C2349">
              <w:t>5,200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F3D3F8" w:rsidR="00E66558" w:rsidRDefault="009D71E8">
            <w:pPr>
              <w:pStyle w:val="TableRow"/>
            </w:pPr>
            <w:r>
              <w:t>£</w:t>
            </w:r>
            <w:r w:rsidR="004C234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82178F7" w:rsidR="00E66558" w:rsidRDefault="009D71E8">
            <w:pPr>
              <w:pStyle w:val="TableRow"/>
            </w:pPr>
            <w:r>
              <w:t>£</w:t>
            </w:r>
            <w:r w:rsidR="004C2349">
              <w:t>63,020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5D49B68E" w:rsidR="00E66558" w:rsidRPr="00BB0D1F" w:rsidRDefault="00BB0D1F" w:rsidP="00BB0D1F">
            <w:pPr>
              <w:ind w:left="720" w:hanging="360"/>
              <w:rPr>
                <w:i/>
                <w:iCs/>
              </w:rPr>
            </w:pPr>
            <w:r w:rsidRPr="00F27475">
              <w:rPr>
                <w:rFonts w:cs="Arial"/>
              </w:rPr>
              <w:t xml:space="preserve">Brinsworth Howarth is committed to enabling all pupils to achieve to the best of their abilities. We intend to invest our pupil premium grant in better learning and will, therefore, allocate money to raise the </w:t>
            </w:r>
            <w:r w:rsidRPr="00F27475">
              <w:rPr>
                <w:rFonts w:cs="Arial"/>
                <w:i/>
              </w:rPr>
              <w:t xml:space="preserve">aspirations </w:t>
            </w:r>
            <w:r w:rsidRPr="00F27475">
              <w:rPr>
                <w:rFonts w:cs="Arial"/>
              </w:rPr>
              <w:t xml:space="preserve">and </w:t>
            </w:r>
            <w:r w:rsidRPr="00F27475">
              <w:rPr>
                <w:rFonts w:cs="Arial"/>
                <w:i/>
              </w:rPr>
              <w:t xml:space="preserve">achievement </w:t>
            </w:r>
            <w:r w:rsidRPr="00F27475">
              <w:rPr>
                <w:rFonts w:cs="Arial"/>
              </w:rPr>
              <w:t>of our children from more disadvantaged backgrounds.  However, we also recognise that not all children who receive free school meals will be socially disadvantaged and we also recognise that not all children that are disadvantaged have free school meals.  We reserve the right to allocate Pupil Premium funding to support any child the school has identified as being socially disadvantaged</w:t>
            </w:r>
            <w:r>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84FF977" w:rsidR="00E66558" w:rsidRDefault="003754AB">
            <w:pPr>
              <w:pStyle w:val="TableRowCentered"/>
              <w:jc w:val="left"/>
            </w:pPr>
            <w:r>
              <w:t xml:space="preserve">Many of our pupil premium children do not </w:t>
            </w:r>
            <w:r w:rsidR="005D6225">
              <w:t>experience visits or trips due to deprivation. This impacts on their vocabulary acquisition and knowledge of the world.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0C57C45" w:rsidR="00E66558" w:rsidRDefault="005D6225">
            <w:pPr>
              <w:pStyle w:val="TableRowCentered"/>
              <w:jc w:val="left"/>
              <w:rPr>
                <w:sz w:val="22"/>
                <w:szCs w:val="22"/>
              </w:rPr>
            </w:pPr>
            <w:r>
              <w:rPr>
                <w:sz w:val="22"/>
                <w:szCs w:val="22"/>
              </w:rPr>
              <w:t>Our pupil premium children do not make as rapid progress in their reading as non-pupil premium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9B0C22B" w:rsidR="00E66558" w:rsidRDefault="005D6225">
            <w:pPr>
              <w:pStyle w:val="TableRowCentered"/>
              <w:jc w:val="left"/>
              <w:rPr>
                <w:sz w:val="22"/>
                <w:szCs w:val="22"/>
              </w:rPr>
            </w:pPr>
            <w:r>
              <w:rPr>
                <w:sz w:val="22"/>
                <w:szCs w:val="22"/>
              </w:rPr>
              <w:t>The attendance of our pupil premium children is lower than that of the whole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625386F" w:rsidR="00E66558" w:rsidRDefault="00547CBE">
            <w:pPr>
              <w:pStyle w:val="TableRowCentered"/>
              <w:jc w:val="left"/>
              <w:rPr>
                <w:iCs/>
                <w:sz w:val="22"/>
              </w:rPr>
            </w:pPr>
            <w:r>
              <w:rPr>
                <w:sz w:val="22"/>
                <w:szCs w:val="22"/>
              </w:rPr>
              <w:t>The mental health of our pupils is important to us and requires support.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DFE594F" w:rsidR="00E66558" w:rsidRDefault="005D6225">
            <w:pPr>
              <w:pStyle w:val="TableRow"/>
            </w:pPr>
            <w:r>
              <w:t>For pupil premium children to enjoy the wide range of enrichment activities we have to offer at Brinsworth Howarth Primary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24E82" w14:textId="77777777" w:rsidR="00E66558" w:rsidRDefault="005D6225" w:rsidP="005D6225">
            <w:pPr>
              <w:pStyle w:val="TableRowCentered"/>
              <w:numPr>
                <w:ilvl w:val="0"/>
                <w:numId w:val="14"/>
              </w:numPr>
              <w:jc w:val="left"/>
              <w:rPr>
                <w:sz w:val="22"/>
                <w:szCs w:val="22"/>
              </w:rPr>
            </w:pPr>
            <w:r>
              <w:rPr>
                <w:sz w:val="22"/>
                <w:szCs w:val="22"/>
              </w:rPr>
              <w:t xml:space="preserve">A wide-range of extra-curricular activities will be offered to support our school connection to Children’s University. Children can earn bonuses through attending the clubs. </w:t>
            </w:r>
          </w:p>
          <w:p w14:paraId="2E80CA79" w14:textId="77777777" w:rsidR="005D6225" w:rsidRDefault="005D6225" w:rsidP="005D6225">
            <w:pPr>
              <w:pStyle w:val="TableRowCentered"/>
              <w:numPr>
                <w:ilvl w:val="0"/>
                <w:numId w:val="14"/>
              </w:numPr>
              <w:jc w:val="left"/>
              <w:rPr>
                <w:sz w:val="22"/>
                <w:szCs w:val="22"/>
              </w:rPr>
            </w:pPr>
            <w:r>
              <w:rPr>
                <w:sz w:val="22"/>
                <w:szCs w:val="22"/>
              </w:rPr>
              <w:t xml:space="preserve">Pupil premium children who chose not to join a club in the autumn term </w:t>
            </w:r>
            <w:r>
              <w:rPr>
                <w:sz w:val="22"/>
                <w:szCs w:val="22"/>
              </w:rPr>
              <w:lastRenderedPageBreak/>
              <w:t>will be prioritised in the spring and summer terms.</w:t>
            </w:r>
          </w:p>
          <w:p w14:paraId="3B11A28A" w14:textId="75D9973A" w:rsidR="005D6225" w:rsidRDefault="005D6225" w:rsidP="005D6225">
            <w:pPr>
              <w:pStyle w:val="TableRowCentered"/>
              <w:numPr>
                <w:ilvl w:val="0"/>
                <w:numId w:val="14"/>
              </w:numPr>
              <w:jc w:val="left"/>
              <w:rPr>
                <w:sz w:val="22"/>
                <w:szCs w:val="22"/>
              </w:rPr>
            </w:pPr>
            <w:r>
              <w:rPr>
                <w:sz w:val="22"/>
                <w:szCs w:val="22"/>
              </w:rPr>
              <w:t>Discounts in line with our charging policy will continue to apply to pupil premium families for all enrichment opportunities to include visits, residential</w:t>
            </w:r>
            <w:r w:rsidR="00CF15F4">
              <w:rPr>
                <w:sz w:val="22"/>
                <w:szCs w:val="22"/>
              </w:rPr>
              <w:t>s</w:t>
            </w:r>
            <w:r>
              <w:rPr>
                <w:sz w:val="22"/>
                <w:szCs w:val="22"/>
              </w:rPr>
              <w:t xml:space="preserve">, trips, music lessons etc. </w:t>
            </w:r>
          </w:p>
          <w:p w14:paraId="378B8980" w14:textId="193E4BBF" w:rsidR="006B0F69" w:rsidRPr="006B0F69" w:rsidRDefault="006B0F69" w:rsidP="005D6225">
            <w:pPr>
              <w:pStyle w:val="TableRowCentered"/>
              <w:numPr>
                <w:ilvl w:val="0"/>
                <w:numId w:val="14"/>
              </w:numPr>
              <w:jc w:val="left"/>
              <w:rPr>
                <w:sz w:val="22"/>
                <w:szCs w:val="22"/>
              </w:rPr>
            </w:pPr>
            <w:r w:rsidRPr="006B0F69">
              <w:rPr>
                <w:rFonts w:cs="Arial"/>
                <w:sz w:val="22"/>
                <w:szCs w:val="22"/>
              </w:rPr>
              <w:t>Extended School Partnership Officer – John Bell to org</w:t>
            </w:r>
            <w:r>
              <w:rPr>
                <w:rFonts w:cs="Arial"/>
                <w:sz w:val="22"/>
                <w:szCs w:val="22"/>
              </w:rPr>
              <w:t>anise and deliver after school clubs and holiday clubs.</w:t>
            </w:r>
          </w:p>
          <w:p w14:paraId="2A7D5505" w14:textId="4D3310A0" w:rsidR="00CF15F4" w:rsidRDefault="00CF15F4" w:rsidP="00CF15F4">
            <w:pPr>
              <w:pStyle w:val="TableRowCentered"/>
              <w:ind w:left="777"/>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757FE27" w:rsidR="00E66558" w:rsidRDefault="00CF15F4">
            <w:pPr>
              <w:pStyle w:val="TableRow"/>
              <w:rPr>
                <w:sz w:val="22"/>
                <w:szCs w:val="22"/>
              </w:rPr>
            </w:pPr>
            <w:r>
              <w:rPr>
                <w:sz w:val="22"/>
                <w:szCs w:val="22"/>
              </w:rPr>
              <w:lastRenderedPageBreak/>
              <w:t>For attendance of our PP children to be in line or above non-PP children. For attendance to be ‘good’ compared to national attendance (96%0</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5AAEB" w14:textId="77777777" w:rsidR="00CF15F4" w:rsidRDefault="00CF15F4" w:rsidP="00CF15F4">
            <w:pPr>
              <w:pStyle w:val="TableRowCentered"/>
              <w:numPr>
                <w:ilvl w:val="0"/>
                <w:numId w:val="15"/>
              </w:numPr>
              <w:jc w:val="left"/>
              <w:rPr>
                <w:sz w:val="22"/>
                <w:szCs w:val="22"/>
              </w:rPr>
            </w:pPr>
            <w:r>
              <w:rPr>
                <w:sz w:val="22"/>
                <w:szCs w:val="22"/>
              </w:rPr>
              <w:t>Attendance officer will promptly call families who have an absent child without reason.</w:t>
            </w:r>
          </w:p>
          <w:p w14:paraId="0647B8A7" w14:textId="77777777" w:rsidR="00CF15F4" w:rsidRDefault="00CF15F4" w:rsidP="00CF15F4">
            <w:pPr>
              <w:pStyle w:val="TableRowCentered"/>
              <w:numPr>
                <w:ilvl w:val="0"/>
                <w:numId w:val="15"/>
              </w:numPr>
              <w:jc w:val="left"/>
              <w:rPr>
                <w:sz w:val="22"/>
                <w:szCs w:val="22"/>
              </w:rPr>
            </w:pPr>
            <w:r>
              <w:rPr>
                <w:sz w:val="22"/>
                <w:szCs w:val="22"/>
              </w:rPr>
              <w:t>Early Help referral to be made if concerns around historic attendance.</w:t>
            </w:r>
          </w:p>
          <w:p w14:paraId="2DD76EFA" w14:textId="77777777" w:rsidR="00CF15F4" w:rsidRDefault="00CF15F4" w:rsidP="00CF15F4">
            <w:pPr>
              <w:pStyle w:val="TableRowCentered"/>
              <w:numPr>
                <w:ilvl w:val="0"/>
                <w:numId w:val="15"/>
              </w:numPr>
              <w:jc w:val="left"/>
              <w:rPr>
                <w:sz w:val="22"/>
                <w:szCs w:val="22"/>
              </w:rPr>
            </w:pPr>
            <w:r>
              <w:rPr>
                <w:sz w:val="22"/>
                <w:szCs w:val="22"/>
              </w:rPr>
              <w:t>Fines discussed with Governors for non-attendance.</w:t>
            </w:r>
          </w:p>
          <w:p w14:paraId="2A7D5508" w14:textId="355735D5" w:rsidR="00E66558" w:rsidRDefault="00CF15F4" w:rsidP="00CF15F4">
            <w:pPr>
              <w:pStyle w:val="TableRowCentered"/>
              <w:numPr>
                <w:ilvl w:val="0"/>
                <w:numId w:val="15"/>
              </w:numPr>
              <w:jc w:val="left"/>
              <w:rPr>
                <w:sz w:val="22"/>
                <w:szCs w:val="22"/>
              </w:rPr>
            </w:pPr>
            <w:r>
              <w:rPr>
                <w:sz w:val="22"/>
                <w:szCs w:val="22"/>
              </w:rPr>
              <w:t xml:space="preserve">Use of attendance reward system in place through school. Whole class extra playtimes, film afternoons, popcorn, hot chocolate etc.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D81D985" w:rsidR="00E66558" w:rsidRDefault="00CF15F4">
            <w:pPr>
              <w:pStyle w:val="TableRow"/>
              <w:rPr>
                <w:sz w:val="22"/>
                <w:szCs w:val="22"/>
              </w:rPr>
            </w:pPr>
            <w:r>
              <w:rPr>
                <w:sz w:val="22"/>
                <w:szCs w:val="22"/>
              </w:rPr>
              <w:t xml:space="preserve">Pupil premium children will make good or better progress in reading – this will help vocabulary acquisition.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1BFC" w14:textId="77777777" w:rsidR="00E66558" w:rsidRDefault="00CF15F4" w:rsidP="00CF15F4">
            <w:pPr>
              <w:pStyle w:val="TableRowCentered"/>
              <w:numPr>
                <w:ilvl w:val="0"/>
                <w:numId w:val="16"/>
              </w:numPr>
              <w:jc w:val="left"/>
              <w:rPr>
                <w:sz w:val="22"/>
                <w:szCs w:val="22"/>
              </w:rPr>
            </w:pPr>
            <w:r>
              <w:rPr>
                <w:sz w:val="22"/>
                <w:szCs w:val="22"/>
              </w:rPr>
              <w:t>PP children will develop a love of reading</w:t>
            </w:r>
          </w:p>
          <w:p w14:paraId="4688D063" w14:textId="77777777" w:rsidR="00CF15F4" w:rsidRDefault="00CF15F4" w:rsidP="00CF15F4">
            <w:pPr>
              <w:pStyle w:val="TableRowCentered"/>
              <w:numPr>
                <w:ilvl w:val="0"/>
                <w:numId w:val="16"/>
              </w:numPr>
              <w:jc w:val="left"/>
              <w:rPr>
                <w:sz w:val="22"/>
                <w:szCs w:val="22"/>
              </w:rPr>
            </w:pPr>
            <w:r>
              <w:rPr>
                <w:sz w:val="22"/>
                <w:szCs w:val="22"/>
              </w:rPr>
              <w:t xml:space="preserve">All reading will be carried out at school in KS2 and for our vulnerable groups of children in KS1 to ensure that reading is supported daily. </w:t>
            </w:r>
          </w:p>
          <w:p w14:paraId="34D41393" w14:textId="77777777" w:rsidR="00CF15F4" w:rsidRDefault="00E344A9" w:rsidP="00CF15F4">
            <w:pPr>
              <w:pStyle w:val="TableRowCentered"/>
              <w:numPr>
                <w:ilvl w:val="0"/>
                <w:numId w:val="16"/>
              </w:numPr>
              <w:jc w:val="left"/>
              <w:rPr>
                <w:sz w:val="22"/>
                <w:szCs w:val="22"/>
              </w:rPr>
            </w:pPr>
            <w:r>
              <w:rPr>
                <w:sz w:val="22"/>
                <w:szCs w:val="22"/>
              </w:rPr>
              <w:t xml:space="preserve">Book spine is fully in place through school for children to access a variety of lovely books. </w:t>
            </w:r>
          </w:p>
          <w:p w14:paraId="38991163" w14:textId="038A2D92" w:rsidR="00E344A9" w:rsidRDefault="00E344A9" w:rsidP="00CF15F4">
            <w:pPr>
              <w:pStyle w:val="TableRowCentered"/>
              <w:numPr>
                <w:ilvl w:val="0"/>
                <w:numId w:val="16"/>
              </w:numPr>
              <w:jc w:val="left"/>
              <w:rPr>
                <w:sz w:val="22"/>
                <w:szCs w:val="22"/>
              </w:rPr>
            </w:pPr>
            <w:r>
              <w:rPr>
                <w:sz w:val="22"/>
                <w:szCs w:val="22"/>
              </w:rPr>
              <w:t>Online reading phonic books (Rising Stars) in place. Use of an ipad or laptop from school for our vulnerable families and pp children.</w:t>
            </w:r>
          </w:p>
          <w:p w14:paraId="2E720B81" w14:textId="77777777" w:rsidR="00E344A9" w:rsidRDefault="00E344A9" w:rsidP="00CF15F4">
            <w:pPr>
              <w:pStyle w:val="TableRowCentered"/>
              <w:numPr>
                <w:ilvl w:val="0"/>
                <w:numId w:val="16"/>
              </w:numPr>
              <w:jc w:val="left"/>
              <w:rPr>
                <w:sz w:val="22"/>
                <w:szCs w:val="22"/>
              </w:rPr>
            </w:pPr>
            <w:r>
              <w:rPr>
                <w:sz w:val="22"/>
                <w:szCs w:val="22"/>
              </w:rPr>
              <w:t>New post in school – TLR to support all children in making good and better progress in Reading.</w:t>
            </w:r>
          </w:p>
          <w:p w14:paraId="2A7D550B" w14:textId="7AF52EAF" w:rsidR="00E344A9" w:rsidRDefault="00E344A9" w:rsidP="00CF15F4">
            <w:pPr>
              <w:pStyle w:val="TableRowCentered"/>
              <w:numPr>
                <w:ilvl w:val="0"/>
                <w:numId w:val="16"/>
              </w:numPr>
              <w:jc w:val="left"/>
              <w:rPr>
                <w:sz w:val="22"/>
                <w:szCs w:val="22"/>
              </w:rPr>
            </w:pPr>
            <w:r>
              <w:rPr>
                <w:sz w:val="22"/>
                <w:szCs w:val="22"/>
              </w:rPr>
              <w:t>School Library service accessed to develop a love of reading through school</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0302CFC" w:rsidR="00E66558" w:rsidRDefault="00547CBE">
            <w:pPr>
              <w:pStyle w:val="TableRow"/>
              <w:rPr>
                <w:sz w:val="22"/>
                <w:szCs w:val="22"/>
              </w:rPr>
            </w:pPr>
            <w:r>
              <w:rPr>
                <w:sz w:val="22"/>
                <w:szCs w:val="22"/>
              </w:rPr>
              <w:t xml:space="preserve">For all children including PP to receive support for their mental health.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7F0A" w14:textId="2B7534E7" w:rsidR="00E66558" w:rsidRDefault="00547CBE" w:rsidP="00547CBE">
            <w:pPr>
              <w:pStyle w:val="TableRowCentered"/>
              <w:numPr>
                <w:ilvl w:val="0"/>
                <w:numId w:val="17"/>
              </w:numPr>
              <w:jc w:val="left"/>
              <w:rPr>
                <w:sz w:val="22"/>
                <w:szCs w:val="22"/>
              </w:rPr>
            </w:pPr>
            <w:r>
              <w:rPr>
                <w:sz w:val="22"/>
                <w:szCs w:val="22"/>
              </w:rPr>
              <w:t>All staff to be fully trained in Attachment</w:t>
            </w:r>
          </w:p>
          <w:p w14:paraId="3419F4B2" w14:textId="3E9587FF" w:rsidR="00547CBE" w:rsidRDefault="00547CBE" w:rsidP="00547CBE">
            <w:pPr>
              <w:pStyle w:val="TableRowCentered"/>
              <w:numPr>
                <w:ilvl w:val="0"/>
                <w:numId w:val="17"/>
              </w:numPr>
              <w:jc w:val="left"/>
              <w:rPr>
                <w:sz w:val="22"/>
                <w:szCs w:val="22"/>
              </w:rPr>
            </w:pPr>
            <w:r>
              <w:rPr>
                <w:sz w:val="22"/>
                <w:szCs w:val="22"/>
              </w:rPr>
              <w:t>All staff to be fully trained in Autism</w:t>
            </w:r>
          </w:p>
          <w:p w14:paraId="2D7ACD7E" w14:textId="7F4A4540" w:rsidR="00547CBE" w:rsidRDefault="00547CBE" w:rsidP="00547CBE">
            <w:pPr>
              <w:pStyle w:val="TableRowCentered"/>
              <w:numPr>
                <w:ilvl w:val="0"/>
                <w:numId w:val="17"/>
              </w:numPr>
              <w:jc w:val="left"/>
              <w:rPr>
                <w:sz w:val="22"/>
                <w:szCs w:val="22"/>
              </w:rPr>
            </w:pPr>
            <w:r>
              <w:rPr>
                <w:sz w:val="22"/>
                <w:szCs w:val="22"/>
              </w:rPr>
              <w:t>All staff to be fully trained in ‘Trauma Informed Approach’</w:t>
            </w:r>
          </w:p>
          <w:p w14:paraId="5EBC780B" w14:textId="77777777" w:rsidR="00547CBE" w:rsidRDefault="00547CBE" w:rsidP="00547CBE">
            <w:pPr>
              <w:pStyle w:val="TableRowCentered"/>
              <w:numPr>
                <w:ilvl w:val="0"/>
                <w:numId w:val="17"/>
              </w:numPr>
              <w:jc w:val="left"/>
              <w:rPr>
                <w:sz w:val="22"/>
                <w:szCs w:val="22"/>
              </w:rPr>
            </w:pPr>
            <w:r>
              <w:rPr>
                <w:sz w:val="22"/>
                <w:szCs w:val="22"/>
              </w:rPr>
              <w:t>X1 TA to receive 6 weeks of training in ELSA</w:t>
            </w:r>
          </w:p>
          <w:p w14:paraId="2A7D550E" w14:textId="6958F969" w:rsidR="00547CBE" w:rsidRDefault="00547CBE" w:rsidP="00547CBE">
            <w:pPr>
              <w:pStyle w:val="TableRowCentered"/>
              <w:numPr>
                <w:ilvl w:val="0"/>
                <w:numId w:val="17"/>
              </w:numPr>
              <w:jc w:val="left"/>
              <w:rPr>
                <w:sz w:val="22"/>
                <w:szCs w:val="22"/>
              </w:rPr>
            </w:pPr>
            <w:r>
              <w:rPr>
                <w:sz w:val="22"/>
                <w:szCs w:val="22"/>
              </w:rPr>
              <w:t xml:space="preserve">X3 – SLT to receive training in ‘The Millennial Child’ </w:t>
            </w:r>
          </w:p>
        </w:tc>
      </w:tr>
    </w:tbl>
    <w:p w14:paraId="418A28B1" w14:textId="77777777" w:rsidR="006B0F69" w:rsidRDefault="006B0F69" w:rsidP="006B0F69">
      <w:pPr>
        <w:suppressAutoHyphens w:val="0"/>
        <w:spacing w:after="0" w:line="240" w:lineRule="auto"/>
        <w:rPr>
          <w:b/>
          <w:color w:val="104F75"/>
          <w:sz w:val="32"/>
          <w:szCs w:val="32"/>
        </w:rPr>
      </w:pPr>
    </w:p>
    <w:p w14:paraId="2A7D5512" w14:textId="1E3BBC7C" w:rsidR="00E66558" w:rsidRDefault="009D71E8" w:rsidP="006B0F69">
      <w:pPr>
        <w:suppressAutoHyphens w:val="0"/>
        <w:spacing w:after="0" w:line="240" w:lineRule="auto"/>
      </w:pPr>
      <w:r>
        <w:t>Activity in this academic year</w:t>
      </w:r>
    </w:p>
    <w:p w14:paraId="74BA921F" w14:textId="77777777" w:rsidR="006B0F69" w:rsidRPr="006B0F69" w:rsidRDefault="006B0F69" w:rsidP="006B0F69">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696D974" w:rsidR="00E66558" w:rsidRDefault="004C2349">
      <w:r>
        <w:t>Budgeted cost: £20,020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5B21F70" w:rsidR="00E66558" w:rsidRPr="006B0F69" w:rsidRDefault="006B0F69">
            <w:pPr>
              <w:pStyle w:val="TableRow"/>
            </w:pPr>
            <w:r w:rsidRPr="006B0F69">
              <w:rPr>
                <w:iCs/>
                <w:sz w:val="22"/>
                <w:szCs w:val="22"/>
              </w:rPr>
              <w:t>Twilights looking at Reading and phonics teaching</w:t>
            </w:r>
            <w:r>
              <w:rPr>
                <w:iCs/>
                <w:sz w:val="22"/>
                <w:szCs w:val="22"/>
              </w:rPr>
              <w:t xml:space="preserve"> </w:t>
            </w:r>
            <w:r w:rsidR="009778B1">
              <w:rPr>
                <w:iCs/>
                <w:sz w:val="22"/>
                <w:szCs w:val="22"/>
              </w:rPr>
              <w:t xml:space="preserve">approach </w:t>
            </w:r>
            <w:r>
              <w:rPr>
                <w:iCs/>
                <w:sz w:val="22"/>
                <w:szCs w:val="22"/>
              </w:rPr>
              <w:t>through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8EBDEA2" w:rsidR="00E66558" w:rsidRDefault="006B0F69" w:rsidP="006B0F69">
            <w:pPr>
              <w:pStyle w:val="TableRowCentered"/>
              <w:jc w:val="left"/>
              <w:rPr>
                <w:sz w:val="22"/>
              </w:rPr>
            </w:pPr>
            <w:r>
              <w:rPr>
                <w:sz w:val="22"/>
              </w:rPr>
              <w:t>Class teachers to be aware of the PP children within their classes and to track their progress carefully in Reading and 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274156E" w:rsidR="00E66558" w:rsidRDefault="004C2349">
            <w:pPr>
              <w:pStyle w:val="TableRowCentered"/>
              <w:jc w:val="left"/>
              <w:rPr>
                <w:sz w:val="22"/>
              </w:rPr>
            </w:pPr>
            <w:r>
              <w:rPr>
                <w:sz w:val="22"/>
              </w:rPr>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4B2FB6" w:rsidR="00E66558" w:rsidRPr="006B0F69" w:rsidRDefault="006B0F69">
            <w:pPr>
              <w:pStyle w:val="TableRow"/>
              <w:rPr>
                <w:sz w:val="22"/>
              </w:rPr>
            </w:pPr>
            <w:r w:rsidRPr="006B0F69">
              <w:rPr>
                <w:sz w:val="22"/>
              </w:rPr>
              <w:t xml:space="preserve">Train staff </w:t>
            </w:r>
            <w:r>
              <w:rPr>
                <w:sz w:val="22"/>
              </w:rPr>
              <w:t>in phonics teaching and to monitor the progress of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3B448D3" w:rsidR="00E66558" w:rsidRDefault="009778B1">
            <w:pPr>
              <w:pStyle w:val="TableRowCentered"/>
              <w:jc w:val="left"/>
              <w:rPr>
                <w:sz w:val="22"/>
              </w:rPr>
            </w:pPr>
            <w:r>
              <w:rPr>
                <w:sz w:val="22"/>
              </w:rPr>
              <w:t>Children to receive a bespoke phonics curriculum which has a consistent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1D5CF7E" w:rsidR="00E66558" w:rsidRDefault="004C2349">
            <w:pPr>
              <w:pStyle w:val="TableRowCentered"/>
              <w:jc w:val="left"/>
              <w:rPr>
                <w:sz w:val="22"/>
              </w:rPr>
            </w:pPr>
            <w:r>
              <w:rPr>
                <w:sz w:val="22"/>
              </w:rPr>
              <w:t>2</w:t>
            </w:r>
          </w:p>
        </w:tc>
      </w:tr>
      <w:tr w:rsidR="009778B1" w14:paraId="3EAB35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E02D" w14:textId="084137E8" w:rsidR="009778B1" w:rsidRPr="006B0F69" w:rsidRDefault="009778B1">
            <w:pPr>
              <w:pStyle w:val="TableRow"/>
              <w:rPr>
                <w:sz w:val="22"/>
              </w:rPr>
            </w:pPr>
            <w:r>
              <w:rPr>
                <w:sz w:val="22"/>
              </w:rPr>
              <w:t>KS2 staff to adopt the Ashley Booth Reading approach. System to be fully embedded by Summer 2022.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0407" w14:textId="67A2DC02" w:rsidR="009778B1" w:rsidRDefault="009778B1">
            <w:pPr>
              <w:pStyle w:val="TableRowCentered"/>
              <w:jc w:val="left"/>
              <w:rPr>
                <w:sz w:val="22"/>
              </w:rPr>
            </w:pPr>
            <w:r>
              <w:rPr>
                <w:sz w:val="22"/>
              </w:rPr>
              <w:t>Our children need more than just being listened to read. School which have a consistent approach achieve good results.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46AC" w14:textId="048FF97B" w:rsidR="009778B1" w:rsidRDefault="004C2349">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165D0C" w:rsidR="00E66558" w:rsidRDefault="004C2349">
      <w:r>
        <w:t>Budgeted cost: £20,000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CA18C28" w:rsidR="00E66558" w:rsidRPr="009778B1" w:rsidRDefault="009778B1">
            <w:pPr>
              <w:pStyle w:val="TableRow"/>
            </w:pPr>
            <w:r>
              <w:rPr>
                <w:iCs/>
                <w:sz w:val="22"/>
                <w:szCs w:val="22"/>
              </w:rPr>
              <w:t>Reading interventions to take place regularly throughout the school day, including breaks.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4EFF" w14:textId="77777777" w:rsidR="00E66558" w:rsidRDefault="009778B1">
            <w:pPr>
              <w:pStyle w:val="TableRowCentered"/>
              <w:jc w:val="left"/>
              <w:rPr>
                <w:sz w:val="22"/>
              </w:rPr>
            </w:pPr>
            <w:r>
              <w:rPr>
                <w:sz w:val="22"/>
              </w:rPr>
              <w:t>Higher attainment in reading indicates better life chances.</w:t>
            </w:r>
          </w:p>
          <w:p w14:paraId="2A7D552A" w14:textId="6710040A" w:rsidR="009778B1" w:rsidRDefault="009778B1">
            <w:pPr>
              <w:pStyle w:val="TableRowCentered"/>
              <w:jc w:val="left"/>
              <w:rPr>
                <w:sz w:val="22"/>
              </w:rPr>
            </w:pPr>
            <w:r>
              <w:rPr>
                <w:sz w:val="22"/>
              </w:rPr>
              <w:t xml:space="preserve">Reading a wide variety of genres will support vocabulary acquisition.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4FC17B" w:rsidR="00E66558" w:rsidRDefault="004C2349">
            <w:pPr>
              <w:pStyle w:val="TableRowCentered"/>
              <w:jc w:val="left"/>
              <w:rPr>
                <w:sz w:val="22"/>
              </w:rPr>
            </w:pPr>
            <w:r>
              <w:rPr>
                <w:sz w:val="22"/>
              </w:rPr>
              <w:t>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98C9" w14:textId="77777777" w:rsidR="00E66558" w:rsidRDefault="009778B1">
            <w:pPr>
              <w:pStyle w:val="TableRow"/>
              <w:rPr>
                <w:sz w:val="22"/>
              </w:rPr>
            </w:pPr>
            <w:r>
              <w:rPr>
                <w:sz w:val="22"/>
              </w:rPr>
              <w:t>1:1 pupil progress meeting with teachers and the head teacher &amp; SENDCO.</w:t>
            </w:r>
          </w:p>
          <w:p w14:paraId="2A7D552D" w14:textId="51D06B34" w:rsidR="009778B1" w:rsidRPr="009778B1" w:rsidRDefault="009778B1">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3AE0DB0" w:rsidR="00E66558" w:rsidRDefault="009778B1">
            <w:pPr>
              <w:pStyle w:val="TableRowCentered"/>
              <w:jc w:val="left"/>
              <w:rPr>
                <w:sz w:val="22"/>
              </w:rPr>
            </w:pPr>
            <w:r>
              <w:rPr>
                <w:sz w:val="22"/>
              </w:rPr>
              <w:t>There is a collected responsibility for PP children’s progress in order to make accelerated progress. Staff will know who they are, their barriers to learning and any strategies needed to meet their educational and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5A6EF21" w:rsidR="00E66558" w:rsidRDefault="004C2349">
            <w:pPr>
              <w:pStyle w:val="TableRowCentered"/>
              <w:jc w:val="left"/>
              <w:rPr>
                <w:sz w:val="22"/>
              </w:rPr>
            </w:pPr>
            <w:r>
              <w:rPr>
                <w:sz w:val="22"/>
              </w:rPr>
              <w:t>4</w:t>
            </w:r>
          </w:p>
        </w:tc>
      </w:tr>
      <w:tr w:rsidR="009778B1" w14:paraId="196D9E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34DB" w14:textId="10A5809E" w:rsidR="009778B1" w:rsidRDefault="009778B1">
            <w:pPr>
              <w:pStyle w:val="TableRow"/>
              <w:rPr>
                <w:sz w:val="22"/>
              </w:rPr>
            </w:pPr>
            <w:r>
              <w:rPr>
                <w:sz w:val="22"/>
              </w:rPr>
              <w:t xml:space="preserve">SENDCO </w:t>
            </w:r>
            <w:r w:rsidR="00D61F19">
              <w:rPr>
                <w:sz w:val="22"/>
              </w:rPr>
              <w:t>and staff to attend all SEN reviews.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8F3F" w14:textId="3EF6BF60" w:rsidR="009778B1" w:rsidRDefault="00D61F19">
            <w:pPr>
              <w:pStyle w:val="TableRowCentered"/>
              <w:jc w:val="left"/>
              <w:rPr>
                <w:sz w:val="22"/>
              </w:rPr>
            </w:pPr>
            <w:r>
              <w:rPr>
                <w:sz w:val="22"/>
              </w:rPr>
              <w:t xml:space="preserve">Quality time given for SENDCO and class teachers to meet and discuss the </w:t>
            </w:r>
            <w:r>
              <w:rPr>
                <w:sz w:val="22"/>
              </w:rPr>
              <w:lastRenderedPageBreak/>
              <w:t xml:space="preserve">needs of the child with parents/carers present.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4DFD" w14:textId="7E0ECCA5" w:rsidR="009778B1" w:rsidRDefault="004C2349">
            <w:pPr>
              <w:pStyle w:val="TableRowCentered"/>
              <w:jc w:val="left"/>
              <w:rPr>
                <w:sz w:val="22"/>
              </w:rPr>
            </w:pPr>
            <w:r>
              <w:rPr>
                <w:sz w:val="22"/>
              </w:rPr>
              <w:lastRenderedPageBreak/>
              <w:t>4</w:t>
            </w:r>
          </w:p>
        </w:tc>
      </w:tr>
      <w:tr w:rsidR="00D61F19" w14:paraId="1C2C9E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1D56" w14:textId="5F92BC40" w:rsidR="00D61F19" w:rsidRDefault="00D61F19">
            <w:pPr>
              <w:pStyle w:val="TableRow"/>
              <w:rPr>
                <w:sz w:val="22"/>
              </w:rPr>
            </w:pPr>
            <w:r>
              <w:rPr>
                <w:sz w:val="22"/>
              </w:rPr>
              <w:lastRenderedPageBreak/>
              <w:t>ELSA support groups to be offered to pupils struggling with mental health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5BBC" w14:textId="2AD419DB" w:rsidR="00D61F19" w:rsidRDefault="00D61F19">
            <w:pPr>
              <w:pStyle w:val="TableRowCentered"/>
              <w:jc w:val="left"/>
              <w:rPr>
                <w:sz w:val="22"/>
              </w:rPr>
            </w:pPr>
            <w:r>
              <w:rPr>
                <w:sz w:val="22"/>
              </w:rPr>
              <w:t>We wish for this to continue as children feel safe and valued during the sessions. Fully training a second member of staff in this area.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31FEE" w14:textId="67149C1E" w:rsidR="00D61F19" w:rsidRDefault="004C2349">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FA2CB06" w:rsidR="00E66558" w:rsidRDefault="004C2349">
      <w:pPr>
        <w:spacing w:before="240" w:after="120"/>
      </w:pPr>
      <w:r>
        <w:t>Budgeted cost: £23,000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EFF33CE" w:rsidR="00E66558" w:rsidRPr="00D61F19" w:rsidRDefault="00D61F19">
            <w:pPr>
              <w:pStyle w:val="TableRow"/>
            </w:pPr>
            <w:r>
              <w:rPr>
                <w:iCs/>
                <w:sz w:val="22"/>
                <w:szCs w:val="22"/>
              </w:rPr>
              <w:t>Exciting visits, trips and residential (Y6) will be planned to enhance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B738F33" w:rsidR="00E66558" w:rsidRDefault="00D61F19">
            <w:pPr>
              <w:pStyle w:val="TableRowCentered"/>
              <w:jc w:val="left"/>
              <w:rPr>
                <w:sz w:val="22"/>
              </w:rPr>
            </w:pPr>
            <w:r>
              <w:rPr>
                <w:sz w:val="22"/>
              </w:rPr>
              <w:t>Children who are exposed to these have an enhanced knowledge and understanding of the world. When finance isn’t a factor for families, they almost always want their children to experience these.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B68CCBF" w:rsidR="00E66558" w:rsidRDefault="004C2349">
            <w:pPr>
              <w:pStyle w:val="TableRowCentered"/>
              <w:jc w:val="left"/>
              <w:rPr>
                <w:sz w:val="22"/>
              </w:rPr>
            </w:pPr>
            <w:r>
              <w:rPr>
                <w:sz w:val="22"/>
              </w:rPr>
              <w:t>1</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35EBCCB" w:rsidR="00E66558" w:rsidRPr="00D61F19" w:rsidRDefault="005846BB">
            <w:pPr>
              <w:pStyle w:val="TableRow"/>
              <w:rPr>
                <w:sz w:val="22"/>
              </w:rPr>
            </w:pPr>
            <w:r>
              <w:rPr>
                <w:sz w:val="22"/>
              </w:rPr>
              <w:t>Peripatetic music teaching – Y3 and Y4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4FE6DCE" w:rsidR="00E66558" w:rsidRDefault="005846BB">
            <w:pPr>
              <w:pStyle w:val="TableRowCentered"/>
              <w:jc w:val="left"/>
              <w:rPr>
                <w:sz w:val="22"/>
              </w:rPr>
            </w:pPr>
            <w:r>
              <w:rPr>
                <w:sz w:val="22"/>
              </w:rPr>
              <w:t xml:space="preserve">Children to follow their hobbies and passions without finance being a barrier will be able to foster a love of music raising their self-esteem.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928CDF9" w:rsidR="00E66558" w:rsidRDefault="004C2349">
            <w:pPr>
              <w:pStyle w:val="TableRowCentered"/>
              <w:jc w:val="left"/>
              <w:rPr>
                <w:sz w:val="22"/>
              </w:rPr>
            </w:pPr>
            <w:r>
              <w:rPr>
                <w:sz w:val="22"/>
              </w:rPr>
              <w:t>1</w:t>
            </w:r>
          </w:p>
        </w:tc>
      </w:tr>
      <w:tr w:rsidR="00D61F19" w14:paraId="6F1360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C0EF" w14:textId="13F79B33" w:rsidR="00D61F19" w:rsidRPr="005846BB" w:rsidRDefault="005846BB">
            <w:pPr>
              <w:pStyle w:val="TableRow"/>
              <w:rPr>
                <w:sz w:val="22"/>
              </w:rPr>
            </w:pPr>
            <w:r>
              <w:rPr>
                <w:sz w:val="22"/>
              </w:rPr>
              <w:t>Engaging with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6661" w14:textId="31A52BB3" w:rsidR="00D61F19" w:rsidRDefault="005846BB">
            <w:pPr>
              <w:pStyle w:val="TableRowCentered"/>
              <w:jc w:val="left"/>
              <w:rPr>
                <w:sz w:val="22"/>
              </w:rPr>
            </w:pPr>
            <w:r>
              <w:rPr>
                <w:sz w:val="22"/>
              </w:rPr>
              <w:t>Using emails, twitter and seesaw to inform parents of their child’s success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53D2" w14:textId="30F86ACC" w:rsidR="00D61F19" w:rsidRDefault="004C2349">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7D64E6CE" w:rsidR="00E66558" w:rsidRDefault="004C2349" w:rsidP="00120AB1">
      <w:r>
        <w:rPr>
          <w:b/>
          <w:bCs/>
          <w:color w:val="104F75"/>
          <w:sz w:val="28"/>
          <w:szCs w:val="28"/>
        </w:rPr>
        <w:t>Total budgeted cost: £63,020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24CD" w14:textId="2E448C69" w:rsidR="005846BB" w:rsidRDefault="002E76D0" w:rsidP="005846BB">
            <w:pPr>
              <w:rPr>
                <w:rFonts w:cs="Arial"/>
              </w:rPr>
            </w:pPr>
            <w:r>
              <w:rPr>
                <w:rFonts w:cs="Arial"/>
              </w:rPr>
              <w:t>The impact of Covid-19 has affected our data and I wish for this to be taken into consideration. Due to being in lockdown last summer 2020. We have no KS1 SATs data for our Year 3 children so cannot analyse progress using this starting point for this year group.</w:t>
            </w:r>
          </w:p>
          <w:tbl>
            <w:tblPr>
              <w:tblStyle w:val="TableGrid"/>
              <w:tblpPr w:leftFromText="180" w:rightFromText="180" w:vertAnchor="page" w:horzAnchor="page" w:tblpX="631" w:tblpY="2806"/>
              <w:tblW w:w="0" w:type="auto"/>
              <w:tblLook w:val="04A0" w:firstRow="1" w:lastRow="0" w:firstColumn="1" w:lastColumn="0" w:noHBand="0" w:noVBand="1"/>
            </w:tblPr>
            <w:tblGrid>
              <w:gridCol w:w="2357"/>
              <w:gridCol w:w="2479"/>
              <w:gridCol w:w="2030"/>
              <w:gridCol w:w="2401"/>
            </w:tblGrid>
            <w:tr w:rsidR="00FF1C34" w:rsidRPr="00954BDC" w14:paraId="3D2CFAD1" w14:textId="77777777" w:rsidTr="00BC0650">
              <w:tc>
                <w:tcPr>
                  <w:tcW w:w="2689" w:type="dxa"/>
                </w:tcPr>
                <w:p w14:paraId="5881E508" w14:textId="77777777" w:rsidR="00FF1C34" w:rsidRPr="00954BDC" w:rsidRDefault="00FF1C34" w:rsidP="00FF1C34">
                  <w:pPr>
                    <w:jc w:val="center"/>
                  </w:pPr>
                  <w:r w:rsidRPr="00954BDC">
                    <w:t xml:space="preserve">Year Group </w:t>
                  </w:r>
                </w:p>
                <w:p w14:paraId="0A3C47F0" w14:textId="77777777" w:rsidR="00FF1C34" w:rsidRPr="00954BDC" w:rsidRDefault="00FF1C34" w:rsidP="00FF1C34">
                  <w:pPr>
                    <w:jc w:val="center"/>
                  </w:pPr>
                </w:p>
              </w:tc>
              <w:tc>
                <w:tcPr>
                  <w:tcW w:w="2835" w:type="dxa"/>
                </w:tcPr>
                <w:p w14:paraId="45A08878" w14:textId="77777777" w:rsidR="00FF1C34" w:rsidRPr="00954BDC" w:rsidRDefault="00FF1C34" w:rsidP="00FF1C34">
                  <w:pPr>
                    <w:jc w:val="center"/>
                  </w:pPr>
                  <w:r w:rsidRPr="00954BDC">
                    <w:t>Below Target POS</w:t>
                  </w:r>
                </w:p>
              </w:tc>
              <w:tc>
                <w:tcPr>
                  <w:tcW w:w="2268" w:type="dxa"/>
                </w:tcPr>
                <w:p w14:paraId="3AA04BF8" w14:textId="77777777" w:rsidR="00FF1C34" w:rsidRPr="00954BDC" w:rsidRDefault="00FF1C34" w:rsidP="00FF1C34">
                  <w:pPr>
                    <w:jc w:val="center"/>
                  </w:pPr>
                  <w:r w:rsidRPr="00954BDC">
                    <w:t>Below</w:t>
                  </w:r>
                </w:p>
              </w:tc>
              <w:tc>
                <w:tcPr>
                  <w:tcW w:w="2693" w:type="dxa"/>
                </w:tcPr>
                <w:p w14:paraId="328F43E8" w14:textId="77777777" w:rsidR="00FF1C34" w:rsidRPr="00954BDC" w:rsidRDefault="00FF1C34" w:rsidP="00FF1C34">
                  <w:pPr>
                    <w:jc w:val="center"/>
                  </w:pPr>
                  <w:r w:rsidRPr="00954BDC">
                    <w:t>At and Above</w:t>
                  </w:r>
                </w:p>
              </w:tc>
            </w:tr>
            <w:tr w:rsidR="00FF1C34" w:rsidRPr="00954BDC" w14:paraId="7E234FCE" w14:textId="77777777" w:rsidTr="00BC0650">
              <w:tc>
                <w:tcPr>
                  <w:tcW w:w="2689" w:type="dxa"/>
                </w:tcPr>
                <w:p w14:paraId="019EEE1C" w14:textId="77777777" w:rsidR="00FF1C34" w:rsidRPr="00954BDC" w:rsidRDefault="00FF1C34" w:rsidP="00FF1C34">
                  <w:pPr>
                    <w:jc w:val="center"/>
                  </w:pPr>
                  <w:r w:rsidRPr="00954BDC">
                    <w:t xml:space="preserve">1 </w:t>
                  </w:r>
                </w:p>
              </w:tc>
              <w:tc>
                <w:tcPr>
                  <w:tcW w:w="2835" w:type="dxa"/>
                </w:tcPr>
                <w:p w14:paraId="492154E7" w14:textId="77777777" w:rsidR="00FF1C34" w:rsidRPr="00954BDC" w:rsidRDefault="00FF1C34" w:rsidP="00FF1C34">
                  <w:pPr>
                    <w:jc w:val="center"/>
                  </w:pPr>
                </w:p>
              </w:tc>
              <w:tc>
                <w:tcPr>
                  <w:tcW w:w="2268" w:type="dxa"/>
                </w:tcPr>
                <w:p w14:paraId="1EC30C9F" w14:textId="77777777" w:rsidR="00FF1C34" w:rsidRPr="00954BDC" w:rsidRDefault="00FF1C34" w:rsidP="00FF1C34">
                  <w:pPr>
                    <w:jc w:val="center"/>
                  </w:pPr>
                </w:p>
              </w:tc>
              <w:tc>
                <w:tcPr>
                  <w:tcW w:w="2693" w:type="dxa"/>
                </w:tcPr>
                <w:p w14:paraId="3BC7E184" w14:textId="77777777" w:rsidR="00FF1C34" w:rsidRPr="00954BDC" w:rsidRDefault="00FF1C34" w:rsidP="00FF1C34">
                  <w:pPr>
                    <w:jc w:val="center"/>
                  </w:pPr>
                  <w:r w:rsidRPr="00954BDC">
                    <w:t>100.00% (1/1)</w:t>
                  </w:r>
                </w:p>
              </w:tc>
            </w:tr>
            <w:tr w:rsidR="00FF1C34" w:rsidRPr="00954BDC" w14:paraId="0D66260F" w14:textId="77777777" w:rsidTr="00BC0650">
              <w:tc>
                <w:tcPr>
                  <w:tcW w:w="2689" w:type="dxa"/>
                </w:tcPr>
                <w:p w14:paraId="2BB97D49" w14:textId="77777777" w:rsidR="00FF1C34" w:rsidRPr="00954BDC" w:rsidRDefault="00FF1C34" w:rsidP="00FF1C34">
                  <w:pPr>
                    <w:jc w:val="center"/>
                  </w:pPr>
                  <w:r w:rsidRPr="00954BDC">
                    <w:t xml:space="preserve">2 </w:t>
                  </w:r>
                </w:p>
              </w:tc>
              <w:tc>
                <w:tcPr>
                  <w:tcW w:w="2835" w:type="dxa"/>
                </w:tcPr>
                <w:p w14:paraId="06081F48" w14:textId="77777777" w:rsidR="00FF1C34" w:rsidRPr="00954BDC" w:rsidRDefault="00FF1C34" w:rsidP="00FF1C34">
                  <w:pPr>
                    <w:jc w:val="center"/>
                  </w:pPr>
                </w:p>
              </w:tc>
              <w:tc>
                <w:tcPr>
                  <w:tcW w:w="2268" w:type="dxa"/>
                </w:tcPr>
                <w:p w14:paraId="00A4C4C2" w14:textId="77777777" w:rsidR="00FF1C34" w:rsidRPr="00954BDC" w:rsidRDefault="00FF1C34" w:rsidP="00FF1C34">
                  <w:pPr>
                    <w:jc w:val="center"/>
                  </w:pPr>
                  <w:r w:rsidRPr="00954BDC">
                    <w:rPr>
                      <w:rFonts w:cstheme="minorHAnsi"/>
                    </w:rPr>
                    <w:t>75.00% (6/8)</w:t>
                  </w:r>
                </w:p>
              </w:tc>
              <w:tc>
                <w:tcPr>
                  <w:tcW w:w="2693" w:type="dxa"/>
                </w:tcPr>
                <w:p w14:paraId="4C1CF169" w14:textId="77777777" w:rsidR="00FF1C34" w:rsidRPr="00954BDC" w:rsidRDefault="00FF1C34" w:rsidP="00FF1C34">
                  <w:pPr>
                    <w:jc w:val="center"/>
                  </w:pPr>
                  <w:r w:rsidRPr="00954BDC">
                    <w:rPr>
                      <w:rFonts w:cstheme="minorHAnsi"/>
                    </w:rPr>
                    <w:t>25.00% (2/8)</w:t>
                  </w:r>
                </w:p>
              </w:tc>
            </w:tr>
            <w:tr w:rsidR="00FF1C34" w:rsidRPr="00954BDC" w14:paraId="186A96BE" w14:textId="77777777" w:rsidTr="00BC0650">
              <w:tc>
                <w:tcPr>
                  <w:tcW w:w="2689" w:type="dxa"/>
                </w:tcPr>
                <w:p w14:paraId="22CED562" w14:textId="77777777" w:rsidR="00FF1C34" w:rsidRPr="00954BDC" w:rsidRDefault="00FF1C34" w:rsidP="00FF1C34">
                  <w:pPr>
                    <w:jc w:val="center"/>
                  </w:pPr>
                  <w:r w:rsidRPr="00954BDC">
                    <w:t xml:space="preserve">3 </w:t>
                  </w:r>
                </w:p>
              </w:tc>
              <w:tc>
                <w:tcPr>
                  <w:tcW w:w="2835" w:type="dxa"/>
                </w:tcPr>
                <w:p w14:paraId="73DCD276" w14:textId="77777777" w:rsidR="00FF1C34" w:rsidRPr="00954BDC" w:rsidRDefault="00FF1C34" w:rsidP="00FF1C34">
                  <w:pPr>
                    <w:jc w:val="center"/>
                  </w:pPr>
                </w:p>
              </w:tc>
              <w:tc>
                <w:tcPr>
                  <w:tcW w:w="2268" w:type="dxa"/>
                </w:tcPr>
                <w:p w14:paraId="7982EC1B" w14:textId="77777777" w:rsidR="00FF1C34" w:rsidRPr="00954BDC" w:rsidRDefault="00FF1C34" w:rsidP="00FF1C34">
                  <w:pPr>
                    <w:jc w:val="center"/>
                  </w:pPr>
                  <w:r w:rsidRPr="00954BDC">
                    <w:rPr>
                      <w:rFonts w:cstheme="minorHAnsi"/>
                    </w:rPr>
                    <w:t>33.33% (1/3)</w:t>
                  </w:r>
                </w:p>
              </w:tc>
              <w:tc>
                <w:tcPr>
                  <w:tcW w:w="2693" w:type="dxa"/>
                </w:tcPr>
                <w:p w14:paraId="2EA8AFBC" w14:textId="77777777" w:rsidR="00FF1C34" w:rsidRPr="00954BDC" w:rsidRDefault="00FF1C34" w:rsidP="00FF1C34">
                  <w:pPr>
                    <w:jc w:val="center"/>
                  </w:pPr>
                  <w:r w:rsidRPr="00954BDC">
                    <w:rPr>
                      <w:rFonts w:cstheme="minorHAnsi"/>
                    </w:rPr>
                    <w:t>66.67% (2/3)</w:t>
                  </w:r>
                </w:p>
              </w:tc>
            </w:tr>
            <w:tr w:rsidR="00FF1C34" w:rsidRPr="00954BDC" w14:paraId="2C831167" w14:textId="77777777" w:rsidTr="00BC0650">
              <w:tc>
                <w:tcPr>
                  <w:tcW w:w="2689" w:type="dxa"/>
                </w:tcPr>
                <w:p w14:paraId="4C25A986" w14:textId="77777777" w:rsidR="00FF1C34" w:rsidRPr="00954BDC" w:rsidRDefault="00FF1C34" w:rsidP="00FF1C34">
                  <w:pPr>
                    <w:jc w:val="center"/>
                  </w:pPr>
                  <w:r>
                    <w:t>4</w:t>
                  </w:r>
                </w:p>
              </w:tc>
              <w:tc>
                <w:tcPr>
                  <w:tcW w:w="2835" w:type="dxa"/>
                </w:tcPr>
                <w:p w14:paraId="5BE563DA" w14:textId="77777777" w:rsidR="00FF1C34" w:rsidRPr="00954BDC" w:rsidRDefault="00FF1C34" w:rsidP="00FF1C34">
                  <w:pPr>
                    <w:jc w:val="center"/>
                  </w:pPr>
                </w:p>
              </w:tc>
              <w:tc>
                <w:tcPr>
                  <w:tcW w:w="2268" w:type="dxa"/>
                </w:tcPr>
                <w:p w14:paraId="0A348ACC" w14:textId="77777777" w:rsidR="00FF1C34" w:rsidRPr="00954BDC" w:rsidRDefault="00FF1C34" w:rsidP="00FF1C34">
                  <w:pPr>
                    <w:jc w:val="center"/>
                  </w:pPr>
                  <w:r>
                    <w:t>55.55% (5/9)</w:t>
                  </w:r>
                </w:p>
              </w:tc>
              <w:tc>
                <w:tcPr>
                  <w:tcW w:w="2693" w:type="dxa"/>
                </w:tcPr>
                <w:p w14:paraId="1CBD7D77" w14:textId="77777777" w:rsidR="00FF1C34" w:rsidRPr="00954BDC" w:rsidRDefault="00FF1C34" w:rsidP="00FF1C34">
                  <w:pPr>
                    <w:spacing w:line="360" w:lineRule="auto"/>
                    <w:jc w:val="center"/>
                  </w:pPr>
                  <w:r>
                    <w:t>44.44  (4/9)</w:t>
                  </w:r>
                </w:p>
              </w:tc>
            </w:tr>
            <w:tr w:rsidR="00FF1C34" w:rsidRPr="00954BDC" w14:paraId="1B153300" w14:textId="77777777" w:rsidTr="00BC0650">
              <w:tc>
                <w:tcPr>
                  <w:tcW w:w="2689" w:type="dxa"/>
                </w:tcPr>
                <w:p w14:paraId="3B3F67B9" w14:textId="77777777" w:rsidR="00FF1C34" w:rsidRPr="00954BDC" w:rsidRDefault="00FF1C34" w:rsidP="00FF1C34">
                  <w:pPr>
                    <w:jc w:val="center"/>
                  </w:pPr>
                  <w:r w:rsidRPr="00954BDC">
                    <w:t>5</w:t>
                  </w:r>
                </w:p>
              </w:tc>
              <w:tc>
                <w:tcPr>
                  <w:tcW w:w="2835" w:type="dxa"/>
                </w:tcPr>
                <w:p w14:paraId="0A7AECBE" w14:textId="77777777" w:rsidR="00FF1C34" w:rsidRPr="00954BDC" w:rsidRDefault="00FF1C34" w:rsidP="00FF1C34">
                  <w:pPr>
                    <w:jc w:val="center"/>
                  </w:pPr>
                </w:p>
              </w:tc>
              <w:tc>
                <w:tcPr>
                  <w:tcW w:w="2268" w:type="dxa"/>
                </w:tcPr>
                <w:p w14:paraId="28D8E1E8" w14:textId="77777777" w:rsidR="00FF1C34" w:rsidRPr="00954BDC" w:rsidRDefault="00FF1C34" w:rsidP="00FF1C34">
                  <w:pPr>
                    <w:jc w:val="center"/>
                  </w:pPr>
                  <w:r>
                    <w:t>28.57% (2/7)</w:t>
                  </w:r>
                </w:p>
              </w:tc>
              <w:tc>
                <w:tcPr>
                  <w:tcW w:w="2693" w:type="dxa"/>
                </w:tcPr>
                <w:p w14:paraId="235F538E" w14:textId="77777777" w:rsidR="00FF1C34" w:rsidRPr="00954BDC" w:rsidRDefault="00FF1C34" w:rsidP="00FF1C34">
                  <w:pPr>
                    <w:jc w:val="center"/>
                  </w:pPr>
                  <w:r>
                    <w:t>71.42% (5/7)</w:t>
                  </w:r>
                </w:p>
              </w:tc>
            </w:tr>
            <w:tr w:rsidR="00FF1C34" w:rsidRPr="00954BDC" w14:paraId="16174EAD" w14:textId="77777777" w:rsidTr="00BC0650">
              <w:tc>
                <w:tcPr>
                  <w:tcW w:w="2689" w:type="dxa"/>
                </w:tcPr>
                <w:p w14:paraId="17523442" w14:textId="77777777" w:rsidR="00FF1C34" w:rsidRPr="00954BDC" w:rsidRDefault="00FF1C34" w:rsidP="00FF1C34">
                  <w:pPr>
                    <w:jc w:val="center"/>
                  </w:pPr>
                  <w:r w:rsidRPr="00954BDC">
                    <w:t>6</w:t>
                  </w:r>
                </w:p>
              </w:tc>
              <w:tc>
                <w:tcPr>
                  <w:tcW w:w="2835" w:type="dxa"/>
                </w:tcPr>
                <w:p w14:paraId="47AB96BA" w14:textId="77777777" w:rsidR="00FF1C34" w:rsidRPr="00954BDC" w:rsidRDefault="00FF1C34" w:rsidP="00FF1C34">
                  <w:pPr>
                    <w:jc w:val="center"/>
                  </w:pPr>
                </w:p>
              </w:tc>
              <w:tc>
                <w:tcPr>
                  <w:tcW w:w="2268" w:type="dxa"/>
                </w:tcPr>
                <w:p w14:paraId="1CC233BE" w14:textId="77777777" w:rsidR="00FF1C34" w:rsidRPr="00954BDC" w:rsidRDefault="00FF1C34" w:rsidP="00FF1C34">
                  <w:pPr>
                    <w:jc w:val="center"/>
                  </w:pPr>
                  <w:r>
                    <w:rPr>
                      <w:rFonts w:cstheme="minorHAnsi"/>
                    </w:rPr>
                    <w:t>66.66% (4/6</w:t>
                  </w:r>
                  <w:r w:rsidRPr="00954BDC">
                    <w:rPr>
                      <w:rFonts w:cstheme="minorHAnsi"/>
                    </w:rPr>
                    <w:t>)</w:t>
                  </w:r>
                </w:p>
              </w:tc>
              <w:tc>
                <w:tcPr>
                  <w:tcW w:w="2693" w:type="dxa"/>
                </w:tcPr>
                <w:p w14:paraId="6147AF27" w14:textId="77777777" w:rsidR="00FF1C34" w:rsidRPr="00954BDC" w:rsidRDefault="00FF1C34" w:rsidP="00FF1C34">
                  <w:pPr>
                    <w:jc w:val="center"/>
                  </w:pPr>
                  <w:r>
                    <w:rPr>
                      <w:rFonts w:cstheme="minorHAnsi"/>
                    </w:rPr>
                    <w:t>33.33% (2/6</w:t>
                  </w:r>
                  <w:r w:rsidRPr="00954BDC">
                    <w:rPr>
                      <w:rFonts w:cstheme="minorHAnsi"/>
                    </w:rPr>
                    <w:t>)</w:t>
                  </w:r>
                </w:p>
              </w:tc>
            </w:tr>
          </w:tbl>
          <w:p w14:paraId="1731FEB8" w14:textId="77777777" w:rsidR="00FF1C34" w:rsidRPr="00954BDC" w:rsidRDefault="00FF1C34" w:rsidP="00FF1C34">
            <w:pPr>
              <w:rPr>
                <w:rFonts w:cstheme="minorHAnsi"/>
              </w:rPr>
            </w:pPr>
          </w:p>
          <w:p w14:paraId="74059156" w14:textId="77777777" w:rsidR="00FF1C34" w:rsidRPr="00954BDC" w:rsidRDefault="00FF1C34" w:rsidP="00FF1C34">
            <w:pPr>
              <w:rPr>
                <w:rFonts w:cstheme="minorHAnsi"/>
                <w:b/>
                <w:sz w:val="28"/>
                <w:szCs w:val="28"/>
                <w:u w:val="single"/>
              </w:rPr>
            </w:pPr>
            <w:r>
              <w:rPr>
                <w:rFonts w:cstheme="minorHAnsi"/>
                <w:b/>
                <w:sz w:val="28"/>
                <w:szCs w:val="28"/>
                <w:u w:val="single"/>
              </w:rPr>
              <w:t xml:space="preserve">Pupil Premium </w:t>
            </w:r>
            <w:r w:rsidRPr="00954BDC">
              <w:rPr>
                <w:rFonts w:cstheme="minorHAnsi"/>
                <w:b/>
                <w:sz w:val="28"/>
                <w:szCs w:val="28"/>
                <w:u w:val="single"/>
              </w:rPr>
              <w:t>Reading Progress Summer 2021</w:t>
            </w:r>
          </w:p>
          <w:p w14:paraId="14A58ECD" w14:textId="5975727E" w:rsidR="00FF1C34" w:rsidRDefault="00FF1C34" w:rsidP="00FF1C34">
            <w:pPr>
              <w:rPr>
                <w:rFonts w:cstheme="minorHAnsi"/>
              </w:rPr>
            </w:pPr>
          </w:p>
          <w:p w14:paraId="423B844E" w14:textId="7AF47DEA" w:rsidR="00937E88" w:rsidRDefault="00937E88" w:rsidP="00937E88">
            <w:pPr>
              <w:rPr>
                <w:rFonts w:cstheme="minorHAnsi"/>
              </w:rPr>
            </w:pPr>
            <w:r>
              <w:rPr>
                <w:rFonts w:cstheme="minorHAnsi"/>
              </w:rPr>
              <w:t>All children who are Pupil Premium have been identified and are being carefully monitored. PP children in current Y3 and Y5 are receiving intervention support for Reading and phonics. The children who are making below average progress are also SEND.</w:t>
            </w:r>
          </w:p>
          <w:p w14:paraId="18B0C13F" w14:textId="7DC4434F" w:rsidR="00937E88" w:rsidRDefault="00937E88" w:rsidP="00937E88">
            <w:pPr>
              <w:rPr>
                <w:rFonts w:cstheme="minorHAnsi"/>
              </w:rPr>
            </w:pPr>
          </w:p>
          <w:p w14:paraId="6D5716AC" w14:textId="0174756E" w:rsidR="00937E88" w:rsidRDefault="00937E88" w:rsidP="00937E88">
            <w:pPr>
              <w:rPr>
                <w:rFonts w:cstheme="minorHAnsi"/>
              </w:rPr>
            </w:pPr>
          </w:p>
          <w:p w14:paraId="6BC9A7AB" w14:textId="77777777" w:rsidR="00937E88" w:rsidRDefault="00937E88" w:rsidP="00937E88">
            <w:pPr>
              <w:rPr>
                <w:rFonts w:cstheme="minorHAnsi"/>
              </w:rPr>
            </w:pPr>
          </w:p>
          <w:p w14:paraId="45E46DF2" w14:textId="77777777" w:rsidR="00937E88" w:rsidRDefault="00937E88" w:rsidP="00937E88">
            <w:pPr>
              <w:rPr>
                <w:rFonts w:cstheme="minorHAnsi"/>
                <w:b/>
                <w:sz w:val="28"/>
                <w:szCs w:val="28"/>
                <w:u w:val="single"/>
              </w:rPr>
            </w:pPr>
            <w:r>
              <w:rPr>
                <w:rFonts w:cstheme="minorHAnsi"/>
                <w:b/>
                <w:sz w:val="28"/>
                <w:szCs w:val="28"/>
                <w:u w:val="single"/>
              </w:rPr>
              <w:lastRenderedPageBreak/>
              <w:t>Pupil Premium Writing</w:t>
            </w:r>
            <w:r w:rsidRPr="00954BDC">
              <w:rPr>
                <w:rFonts w:cstheme="minorHAnsi"/>
                <w:b/>
                <w:sz w:val="28"/>
                <w:szCs w:val="28"/>
                <w:u w:val="single"/>
              </w:rPr>
              <w:t xml:space="preserve"> Progress Summer 2021</w:t>
            </w:r>
          </w:p>
          <w:p w14:paraId="675AC729" w14:textId="77777777" w:rsidR="00937E88" w:rsidRPr="00954BDC" w:rsidRDefault="00937E88" w:rsidP="00937E88">
            <w:pPr>
              <w:rPr>
                <w:rFonts w:cstheme="minorHAnsi"/>
                <w:b/>
                <w:sz w:val="28"/>
                <w:szCs w:val="28"/>
                <w:u w:val="single"/>
              </w:rPr>
            </w:pPr>
          </w:p>
          <w:tbl>
            <w:tblPr>
              <w:tblStyle w:val="TableGrid"/>
              <w:tblW w:w="0" w:type="auto"/>
              <w:tblLook w:val="04A0" w:firstRow="1" w:lastRow="0" w:firstColumn="1" w:lastColumn="0" w:noHBand="0" w:noVBand="1"/>
            </w:tblPr>
            <w:tblGrid>
              <w:gridCol w:w="2302"/>
              <w:gridCol w:w="2304"/>
              <w:gridCol w:w="2320"/>
              <w:gridCol w:w="2341"/>
            </w:tblGrid>
            <w:tr w:rsidR="00937E88" w14:paraId="52361E31" w14:textId="77777777" w:rsidTr="00BC0650">
              <w:trPr>
                <w:trHeight w:val="254"/>
              </w:trPr>
              <w:tc>
                <w:tcPr>
                  <w:tcW w:w="2605" w:type="dxa"/>
                </w:tcPr>
                <w:p w14:paraId="20975F77" w14:textId="77777777" w:rsidR="00937E88" w:rsidRDefault="00937E88" w:rsidP="00937E88">
                  <w:pPr>
                    <w:jc w:val="center"/>
                    <w:rPr>
                      <w:rFonts w:cstheme="minorHAnsi"/>
                    </w:rPr>
                  </w:pPr>
                  <w:r>
                    <w:rPr>
                      <w:rFonts w:cstheme="minorHAnsi"/>
                    </w:rPr>
                    <w:t>Year Group</w:t>
                  </w:r>
                </w:p>
              </w:tc>
              <w:tc>
                <w:tcPr>
                  <w:tcW w:w="2605" w:type="dxa"/>
                </w:tcPr>
                <w:p w14:paraId="6A361D76" w14:textId="77777777" w:rsidR="00937E88" w:rsidRDefault="00937E88" w:rsidP="00937E88">
                  <w:pPr>
                    <w:jc w:val="center"/>
                    <w:rPr>
                      <w:rFonts w:cstheme="minorHAnsi"/>
                    </w:rPr>
                  </w:pPr>
                  <w:r>
                    <w:rPr>
                      <w:rFonts w:cstheme="minorHAnsi"/>
                    </w:rPr>
                    <w:t>Below Target POS</w:t>
                  </w:r>
                </w:p>
              </w:tc>
              <w:tc>
                <w:tcPr>
                  <w:tcW w:w="2605" w:type="dxa"/>
                </w:tcPr>
                <w:p w14:paraId="391531C7" w14:textId="77777777" w:rsidR="00937E88" w:rsidRDefault="00937E88" w:rsidP="00937E88">
                  <w:pPr>
                    <w:jc w:val="center"/>
                    <w:rPr>
                      <w:rFonts w:cstheme="minorHAnsi"/>
                    </w:rPr>
                  </w:pPr>
                  <w:r>
                    <w:rPr>
                      <w:rFonts w:cstheme="minorHAnsi"/>
                    </w:rPr>
                    <w:t>Below</w:t>
                  </w:r>
                </w:p>
              </w:tc>
              <w:tc>
                <w:tcPr>
                  <w:tcW w:w="2605" w:type="dxa"/>
                </w:tcPr>
                <w:p w14:paraId="7D236712" w14:textId="77777777" w:rsidR="00937E88" w:rsidRDefault="00937E88" w:rsidP="00937E88">
                  <w:pPr>
                    <w:jc w:val="center"/>
                    <w:rPr>
                      <w:rFonts w:cstheme="minorHAnsi"/>
                    </w:rPr>
                  </w:pPr>
                  <w:r>
                    <w:rPr>
                      <w:rFonts w:cstheme="minorHAnsi"/>
                    </w:rPr>
                    <w:t>At and Above</w:t>
                  </w:r>
                </w:p>
              </w:tc>
            </w:tr>
            <w:tr w:rsidR="00937E88" w14:paraId="672F3AEC" w14:textId="77777777" w:rsidTr="00BC0650">
              <w:trPr>
                <w:trHeight w:val="254"/>
              </w:trPr>
              <w:tc>
                <w:tcPr>
                  <w:tcW w:w="2605" w:type="dxa"/>
                </w:tcPr>
                <w:p w14:paraId="01311300" w14:textId="77777777" w:rsidR="00937E88" w:rsidRDefault="00937E88" w:rsidP="00937E88">
                  <w:pPr>
                    <w:jc w:val="center"/>
                    <w:rPr>
                      <w:rFonts w:cstheme="minorHAnsi"/>
                    </w:rPr>
                  </w:pPr>
                  <w:r>
                    <w:rPr>
                      <w:rFonts w:cstheme="minorHAnsi"/>
                    </w:rPr>
                    <w:t>1</w:t>
                  </w:r>
                </w:p>
              </w:tc>
              <w:tc>
                <w:tcPr>
                  <w:tcW w:w="2605" w:type="dxa"/>
                </w:tcPr>
                <w:p w14:paraId="52B28844" w14:textId="77777777" w:rsidR="00937E88" w:rsidRDefault="00937E88" w:rsidP="00937E88">
                  <w:pPr>
                    <w:rPr>
                      <w:rFonts w:cstheme="minorHAnsi"/>
                    </w:rPr>
                  </w:pPr>
                </w:p>
              </w:tc>
              <w:tc>
                <w:tcPr>
                  <w:tcW w:w="2605" w:type="dxa"/>
                </w:tcPr>
                <w:p w14:paraId="26228B6C" w14:textId="77777777" w:rsidR="00937E88" w:rsidRDefault="00937E88" w:rsidP="00937E88">
                  <w:pPr>
                    <w:rPr>
                      <w:rFonts w:cstheme="minorHAnsi"/>
                    </w:rPr>
                  </w:pPr>
                </w:p>
              </w:tc>
              <w:tc>
                <w:tcPr>
                  <w:tcW w:w="2605" w:type="dxa"/>
                </w:tcPr>
                <w:p w14:paraId="164B70B3" w14:textId="77777777" w:rsidR="00937E88" w:rsidRDefault="00937E88" w:rsidP="00937E88">
                  <w:pPr>
                    <w:rPr>
                      <w:rFonts w:cstheme="minorHAnsi"/>
                    </w:rPr>
                  </w:pPr>
                  <w:r w:rsidRPr="00954BDC">
                    <w:t>100.00% (1/1)</w:t>
                  </w:r>
                </w:p>
              </w:tc>
            </w:tr>
            <w:tr w:rsidR="00937E88" w14:paraId="0C579210" w14:textId="77777777" w:rsidTr="00BC0650">
              <w:trPr>
                <w:trHeight w:val="267"/>
              </w:trPr>
              <w:tc>
                <w:tcPr>
                  <w:tcW w:w="2605" w:type="dxa"/>
                </w:tcPr>
                <w:p w14:paraId="19F45CE8" w14:textId="77777777" w:rsidR="00937E88" w:rsidRDefault="00937E88" w:rsidP="00937E88">
                  <w:pPr>
                    <w:jc w:val="center"/>
                    <w:rPr>
                      <w:rFonts w:cstheme="minorHAnsi"/>
                    </w:rPr>
                  </w:pPr>
                  <w:r>
                    <w:rPr>
                      <w:rFonts w:cstheme="minorHAnsi"/>
                    </w:rPr>
                    <w:t>2</w:t>
                  </w:r>
                </w:p>
              </w:tc>
              <w:tc>
                <w:tcPr>
                  <w:tcW w:w="2605" w:type="dxa"/>
                </w:tcPr>
                <w:p w14:paraId="4E9CFCB5" w14:textId="77777777" w:rsidR="00937E88" w:rsidRDefault="00937E88" w:rsidP="00937E88">
                  <w:pPr>
                    <w:rPr>
                      <w:rFonts w:cstheme="minorHAnsi"/>
                    </w:rPr>
                  </w:pPr>
                </w:p>
              </w:tc>
              <w:tc>
                <w:tcPr>
                  <w:tcW w:w="2605" w:type="dxa"/>
                </w:tcPr>
                <w:p w14:paraId="77979014" w14:textId="77777777" w:rsidR="00937E88" w:rsidRDefault="00937E88" w:rsidP="00937E88">
                  <w:pPr>
                    <w:jc w:val="center"/>
                    <w:rPr>
                      <w:rFonts w:cstheme="minorHAnsi"/>
                    </w:rPr>
                  </w:pPr>
                  <w:r w:rsidRPr="00954BDC">
                    <w:rPr>
                      <w:rFonts w:cstheme="minorHAnsi"/>
                    </w:rPr>
                    <w:t>75.00% (6/8)</w:t>
                  </w:r>
                </w:p>
              </w:tc>
              <w:tc>
                <w:tcPr>
                  <w:tcW w:w="2605" w:type="dxa"/>
                </w:tcPr>
                <w:p w14:paraId="0C7F57CA" w14:textId="77777777" w:rsidR="00937E88" w:rsidRDefault="00937E88" w:rsidP="00937E88">
                  <w:pPr>
                    <w:jc w:val="center"/>
                    <w:rPr>
                      <w:rFonts w:cstheme="minorHAnsi"/>
                    </w:rPr>
                  </w:pPr>
                  <w:r w:rsidRPr="00954BDC">
                    <w:rPr>
                      <w:rFonts w:cstheme="minorHAnsi"/>
                    </w:rPr>
                    <w:t>25.00% (2/8)</w:t>
                  </w:r>
                </w:p>
              </w:tc>
            </w:tr>
            <w:tr w:rsidR="00937E88" w14:paraId="2CF721EC" w14:textId="77777777" w:rsidTr="00BC0650">
              <w:trPr>
                <w:trHeight w:val="254"/>
              </w:trPr>
              <w:tc>
                <w:tcPr>
                  <w:tcW w:w="2605" w:type="dxa"/>
                </w:tcPr>
                <w:p w14:paraId="168B33B3" w14:textId="77777777" w:rsidR="00937E88" w:rsidRDefault="00937E88" w:rsidP="00937E88">
                  <w:pPr>
                    <w:jc w:val="center"/>
                    <w:rPr>
                      <w:rFonts w:cstheme="minorHAnsi"/>
                    </w:rPr>
                  </w:pPr>
                  <w:r>
                    <w:rPr>
                      <w:rFonts w:cstheme="minorHAnsi"/>
                    </w:rPr>
                    <w:t>3</w:t>
                  </w:r>
                </w:p>
              </w:tc>
              <w:tc>
                <w:tcPr>
                  <w:tcW w:w="2605" w:type="dxa"/>
                </w:tcPr>
                <w:p w14:paraId="754B233B" w14:textId="77777777" w:rsidR="00937E88" w:rsidRDefault="00937E88" w:rsidP="00937E88">
                  <w:pPr>
                    <w:rPr>
                      <w:rFonts w:cstheme="minorHAnsi"/>
                    </w:rPr>
                  </w:pPr>
                </w:p>
              </w:tc>
              <w:tc>
                <w:tcPr>
                  <w:tcW w:w="2605" w:type="dxa"/>
                </w:tcPr>
                <w:p w14:paraId="5E937A07" w14:textId="77777777" w:rsidR="00937E88" w:rsidRDefault="00937E88" w:rsidP="00937E88">
                  <w:pPr>
                    <w:jc w:val="center"/>
                    <w:rPr>
                      <w:rFonts w:cstheme="minorHAnsi"/>
                    </w:rPr>
                  </w:pPr>
                  <w:r>
                    <w:rPr>
                      <w:rFonts w:cstheme="minorHAnsi"/>
                    </w:rPr>
                    <w:t>100% (3/3)</w:t>
                  </w:r>
                </w:p>
              </w:tc>
              <w:tc>
                <w:tcPr>
                  <w:tcW w:w="2605" w:type="dxa"/>
                </w:tcPr>
                <w:p w14:paraId="5ABD5873" w14:textId="77777777" w:rsidR="00937E88" w:rsidRDefault="00937E88" w:rsidP="00937E88">
                  <w:pPr>
                    <w:jc w:val="center"/>
                    <w:rPr>
                      <w:rFonts w:cstheme="minorHAnsi"/>
                    </w:rPr>
                  </w:pPr>
                </w:p>
              </w:tc>
            </w:tr>
            <w:tr w:rsidR="00937E88" w14:paraId="6FB86BEC" w14:textId="77777777" w:rsidTr="00BC0650">
              <w:trPr>
                <w:trHeight w:val="254"/>
              </w:trPr>
              <w:tc>
                <w:tcPr>
                  <w:tcW w:w="2605" w:type="dxa"/>
                </w:tcPr>
                <w:p w14:paraId="1FDD3506" w14:textId="77777777" w:rsidR="00937E88" w:rsidRDefault="00937E88" w:rsidP="00937E88">
                  <w:pPr>
                    <w:jc w:val="center"/>
                    <w:rPr>
                      <w:rFonts w:cstheme="minorHAnsi"/>
                    </w:rPr>
                  </w:pPr>
                  <w:r>
                    <w:rPr>
                      <w:rFonts w:cstheme="minorHAnsi"/>
                    </w:rPr>
                    <w:t>4</w:t>
                  </w:r>
                </w:p>
              </w:tc>
              <w:tc>
                <w:tcPr>
                  <w:tcW w:w="2605" w:type="dxa"/>
                </w:tcPr>
                <w:p w14:paraId="0447FC4D" w14:textId="77777777" w:rsidR="00937E88" w:rsidRDefault="00937E88" w:rsidP="00937E88">
                  <w:pPr>
                    <w:rPr>
                      <w:rFonts w:cstheme="minorHAnsi"/>
                    </w:rPr>
                  </w:pPr>
                </w:p>
              </w:tc>
              <w:tc>
                <w:tcPr>
                  <w:tcW w:w="2605" w:type="dxa"/>
                </w:tcPr>
                <w:p w14:paraId="58A6D6A2" w14:textId="77777777" w:rsidR="00937E88" w:rsidRDefault="00937E88" w:rsidP="00937E88">
                  <w:pPr>
                    <w:jc w:val="center"/>
                    <w:rPr>
                      <w:rFonts w:cstheme="minorHAnsi"/>
                    </w:rPr>
                  </w:pPr>
                  <w:r>
                    <w:rPr>
                      <w:rFonts w:cstheme="minorHAnsi"/>
                    </w:rPr>
                    <w:t>57% (4/7)</w:t>
                  </w:r>
                </w:p>
              </w:tc>
              <w:tc>
                <w:tcPr>
                  <w:tcW w:w="2605" w:type="dxa"/>
                </w:tcPr>
                <w:p w14:paraId="1384FBB1" w14:textId="77777777" w:rsidR="00937E88" w:rsidRDefault="00937E88" w:rsidP="00937E88">
                  <w:pPr>
                    <w:jc w:val="center"/>
                    <w:rPr>
                      <w:rFonts w:cstheme="minorHAnsi"/>
                    </w:rPr>
                  </w:pPr>
                  <w:r>
                    <w:rPr>
                      <w:rFonts w:cstheme="minorHAnsi"/>
                    </w:rPr>
                    <w:t>43% (3/7)</w:t>
                  </w:r>
                </w:p>
              </w:tc>
            </w:tr>
            <w:tr w:rsidR="00937E88" w14:paraId="5710134E" w14:textId="77777777" w:rsidTr="00BC0650">
              <w:trPr>
                <w:trHeight w:val="254"/>
              </w:trPr>
              <w:tc>
                <w:tcPr>
                  <w:tcW w:w="2605" w:type="dxa"/>
                </w:tcPr>
                <w:p w14:paraId="11112689" w14:textId="77777777" w:rsidR="00937E88" w:rsidRDefault="00937E88" w:rsidP="00937E88">
                  <w:pPr>
                    <w:jc w:val="center"/>
                    <w:rPr>
                      <w:rFonts w:cstheme="minorHAnsi"/>
                    </w:rPr>
                  </w:pPr>
                  <w:r>
                    <w:rPr>
                      <w:rFonts w:cstheme="minorHAnsi"/>
                    </w:rPr>
                    <w:t>5</w:t>
                  </w:r>
                </w:p>
              </w:tc>
              <w:tc>
                <w:tcPr>
                  <w:tcW w:w="2605" w:type="dxa"/>
                </w:tcPr>
                <w:p w14:paraId="5A001B87" w14:textId="77777777" w:rsidR="00937E88" w:rsidRDefault="00937E88" w:rsidP="00937E88">
                  <w:pPr>
                    <w:rPr>
                      <w:rFonts w:cstheme="minorHAnsi"/>
                    </w:rPr>
                  </w:pPr>
                </w:p>
              </w:tc>
              <w:tc>
                <w:tcPr>
                  <w:tcW w:w="2605" w:type="dxa"/>
                </w:tcPr>
                <w:p w14:paraId="512CE801" w14:textId="77777777" w:rsidR="00937E88" w:rsidRDefault="00937E88" w:rsidP="00937E88">
                  <w:pPr>
                    <w:jc w:val="center"/>
                    <w:rPr>
                      <w:rFonts w:cstheme="minorHAnsi"/>
                    </w:rPr>
                  </w:pPr>
                  <w:r>
                    <w:rPr>
                      <w:rFonts w:cstheme="minorHAnsi"/>
                    </w:rPr>
                    <w:t>57% (4/7)</w:t>
                  </w:r>
                </w:p>
              </w:tc>
              <w:tc>
                <w:tcPr>
                  <w:tcW w:w="2605" w:type="dxa"/>
                </w:tcPr>
                <w:p w14:paraId="42CD3FA9" w14:textId="77777777" w:rsidR="00937E88" w:rsidRDefault="00937E88" w:rsidP="00937E88">
                  <w:pPr>
                    <w:jc w:val="center"/>
                    <w:rPr>
                      <w:rFonts w:cstheme="minorHAnsi"/>
                    </w:rPr>
                  </w:pPr>
                  <w:r>
                    <w:rPr>
                      <w:rFonts w:cstheme="minorHAnsi"/>
                    </w:rPr>
                    <w:t>43% (3/7)</w:t>
                  </w:r>
                </w:p>
              </w:tc>
            </w:tr>
            <w:tr w:rsidR="00937E88" w14:paraId="2052A397" w14:textId="77777777" w:rsidTr="00BC0650">
              <w:trPr>
                <w:trHeight w:val="254"/>
              </w:trPr>
              <w:tc>
                <w:tcPr>
                  <w:tcW w:w="2605" w:type="dxa"/>
                </w:tcPr>
                <w:p w14:paraId="1EC17A2B" w14:textId="77777777" w:rsidR="00937E88" w:rsidRDefault="00937E88" w:rsidP="00937E88">
                  <w:pPr>
                    <w:jc w:val="center"/>
                    <w:rPr>
                      <w:rFonts w:cstheme="minorHAnsi"/>
                    </w:rPr>
                  </w:pPr>
                  <w:r>
                    <w:rPr>
                      <w:rFonts w:cstheme="minorHAnsi"/>
                    </w:rPr>
                    <w:t>6</w:t>
                  </w:r>
                </w:p>
              </w:tc>
              <w:tc>
                <w:tcPr>
                  <w:tcW w:w="2605" w:type="dxa"/>
                </w:tcPr>
                <w:p w14:paraId="7F788D7F" w14:textId="77777777" w:rsidR="00937E88" w:rsidRDefault="00937E88" w:rsidP="00937E88">
                  <w:pPr>
                    <w:rPr>
                      <w:rFonts w:cstheme="minorHAnsi"/>
                    </w:rPr>
                  </w:pPr>
                </w:p>
              </w:tc>
              <w:tc>
                <w:tcPr>
                  <w:tcW w:w="2605" w:type="dxa"/>
                </w:tcPr>
                <w:p w14:paraId="4ED94516" w14:textId="77777777" w:rsidR="00937E88" w:rsidRDefault="00937E88" w:rsidP="00937E88">
                  <w:pPr>
                    <w:jc w:val="center"/>
                    <w:rPr>
                      <w:rFonts w:cstheme="minorHAnsi"/>
                    </w:rPr>
                  </w:pPr>
                  <w:r>
                    <w:rPr>
                      <w:rFonts w:cstheme="minorHAnsi"/>
                    </w:rPr>
                    <w:t>50% (3/3)</w:t>
                  </w:r>
                </w:p>
              </w:tc>
              <w:tc>
                <w:tcPr>
                  <w:tcW w:w="2605" w:type="dxa"/>
                </w:tcPr>
                <w:p w14:paraId="003C31E4" w14:textId="77777777" w:rsidR="00937E88" w:rsidRDefault="00937E88" w:rsidP="00937E88">
                  <w:pPr>
                    <w:jc w:val="center"/>
                    <w:rPr>
                      <w:rFonts w:cstheme="minorHAnsi"/>
                    </w:rPr>
                  </w:pPr>
                  <w:r>
                    <w:rPr>
                      <w:rFonts w:cstheme="minorHAnsi"/>
                    </w:rPr>
                    <w:t>50% (3/3)</w:t>
                  </w:r>
                </w:p>
              </w:tc>
            </w:tr>
          </w:tbl>
          <w:p w14:paraId="1D5A8E55" w14:textId="52763B07" w:rsidR="00937E88" w:rsidRDefault="00937E88" w:rsidP="00937E88">
            <w:pPr>
              <w:rPr>
                <w:rFonts w:cstheme="minorHAnsi"/>
              </w:rPr>
            </w:pPr>
          </w:p>
          <w:p w14:paraId="1CC3639F" w14:textId="5520931C" w:rsidR="00937E88" w:rsidRPr="00954BDC" w:rsidRDefault="00937E88" w:rsidP="00937E88">
            <w:pPr>
              <w:rPr>
                <w:rFonts w:cstheme="minorHAnsi"/>
              </w:rPr>
            </w:pPr>
            <w:r>
              <w:rPr>
                <w:rFonts w:cstheme="minorHAnsi"/>
              </w:rPr>
              <w:t xml:space="preserve">Our aim is to target the Reading and phonics as this will then support the writing. Covid – 19 and Lock down has caused the children’s writing to decline. This is due to the lack of teaching </w:t>
            </w:r>
            <w:r w:rsidR="006C78E5">
              <w:rPr>
                <w:rFonts w:cstheme="minorHAnsi"/>
              </w:rPr>
              <w:t>and practise the children received.</w:t>
            </w:r>
          </w:p>
          <w:p w14:paraId="43ED7269" w14:textId="77777777" w:rsidR="00937E88" w:rsidRDefault="00937E88" w:rsidP="00937E88">
            <w:pPr>
              <w:rPr>
                <w:rFonts w:cstheme="minorHAnsi"/>
              </w:rPr>
            </w:pPr>
          </w:p>
          <w:p w14:paraId="074B0322" w14:textId="77777777" w:rsidR="00937E88" w:rsidRDefault="00937E88" w:rsidP="00937E88">
            <w:pPr>
              <w:rPr>
                <w:rFonts w:cstheme="minorHAnsi"/>
                <w:b/>
                <w:sz w:val="28"/>
                <w:szCs w:val="28"/>
                <w:u w:val="single"/>
              </w:rPr>
            </w:pPr>
            <w:r>
              <w:rPr>
                <w:rFonts w:cstheme="minorHAnsi"/>
                <w:b/>
                <w:sz w:val="28"/>
                <w:szCs w:val="28"/>
                <w:u w:val="single"/>
              </w:rPr>
              <w:t>Pupil Premium Maths</w:t>
            </w:r>
            <w:r w:rsidRPr="00954BDC">
              <w:rPr>
                <w:rFonts w:cstheme="minorHAnsi"/>
                <w:b/>
                <w:sz w:val="28"/>
                <w:szCs w:val="28"/>
                <w:u w:val="single"/>
              </w:rPr>
              <w:t xml:space="preserve"> Progress Summer 2021</w:t>
            </w:r>
          </w:p>
          <w:p w14:paraId="63C3F2C9" w14:textId="77777777" w:rsidR="00937E88" w:rsidRPr="00954BDC" w:rsidRDefault="00937E88" w:rsidP="00937E88">
            <w:pPr>
              <w:rPr>
                <w:rFonts w:cstheme="minorHAnsi"/>
                <w:b/>
                <w:sz w:val="28"/>
                <w:szCs w:val="28"/>
                <w:u w:val="single"/>
              </w:rPr>
            </w:pPr>
          </w:p>
          <w:tbl>
            <w:tblPr>
              <w:tblStyle w:val="TableGrid"/>
              <w:tblW w:w="0" w:type="auto"/>
              <w:tblLook w:val="04A0" w:firstRow="1" w:lastRow="0" w:firstColumn="1" w:lastColumn="0" w:noHBand="0" w:noVBand="1"/>
            </w:tblPr>
            <w:tblGrid>
              <w:gridCol w:w="2301"/>
              <w:gridCol w:w="2306"/>
              <w:gridCol w:w="2300"/>
              <w:gridCol w:w="2360"/>
            </w:tblGrid>
            <w:tr w:rsidR="00937E88" w14:paraId="2E032246" w14:textId="77777777" w:rsidTr="00BC0650">
              <w:trPr>
                <w:trHeight w:val="254"/>
              </w:trPr>
              <w:tc>
                <w:tcPr>
                  <w:tcW w:w="2557" w:type="dxa"/>
                </w:tcPr>
                <w:p w14:paraId="6F45F523" w14:textId="77777777" w:rsidR="00937E88" w:rsidRPr="00F04CC8" w:rsidRDefault="00937E88" w:rsidP="00937E88">
                  <w:pPr>
                    <w:pStyle w:val="ListParagraph"/>
                    <w:rPr>
                      <w:rFonts w:cstheme="minorHAnsi"/>
                    </w:rPr>
                  </w:pPr>
                  <w:r w:rsidRPr="00F04CC8">
                    <w:rPr>
                      <w:rFonts w:cstheme="minorHAnsi"/>
                    </w:rPr>
                    <w:t>Year Group</w:t>
                  </w:r>
                </w:p>
              </w:tc>
              <w:tc>
                <w:tcPr>
                  <w:tcW w:w="2557" w:type="dxa"/>
                </w:tcPr>
                <w:p w14:paraId="69DA4409" w14:textId="77777777" w:rsidR="00937E88" w:rsidRPr="00F04CC8" w:rsidRDefault="00937E88" w:rsidP="00937E88">
                  <w:pPr>
                    <w:pStyle w:val="ListParagraph"/>
                    <w:rPr>
                      <w:rFonts w:cstheme="minorHAnsi"/>
                    </w:rPr>
                  </w:pPr>
                  <w:r w:rsidRPr="00F04CC8">
                    <w:rPr>
                      <w:rFonts w:cstheme="minorHAnsi"/>
                    </w:rPr>
                    <w:t>Below Target POS</w:t>
                  </w:r>
                </w:p>
              </w:tc>
              <w:tc>
                <w:tcPr>
                  <w:tcW w:w="2557" w:type="dxa"/>
                </w:tcPr>
                <w:p w14:paraId="75710514" w14:textId="77777777" w:rsidR="00937E88" w:rsidRPr="00F04CC8" w:rsidRDefault="00937E88" w:rsidP="00937E88">
                  <w:pPr>
                    <w:pStyle w:val="ListParagraph"/>
                    <w:rPr>
                      <w:rFonts w:cstheme="minorHAnsi"/>
                    </w:rPr>
                  </w:pPr>
                  <w:r w:rsidRPr="00F04CC8">
                    <w:rPr>
                      <w:rFonts w:cstheme="minorHAnsi"/>
                    </w:rPr>
                    <w:t>Below</w:t>
                  </w:r>
                </w:p>
              </w:tc>
              <w:tc>
                <w:tcPr>
                  <w:tcW w:w="2557" w:type="dxa"/>
                </w:tcPr>
                <w:p w14:paraId="0BDCBB1E" w14:textId="77777777" w:rsidR="00937E88" w:rsidRPr="00F04CC8" w:rsidRDefault="00937E88" w:rsidP="00937E88">
                  <w:pPr>
                    <w:pStyle w:val="ListParagraph"/>
                    <w:rPr>
                      <w:rFonts w:cstheme="minorHAnsi"/>
                    </w:rPr>
                  </w:pPr>
                  <w:r w:rsidRPr="00F04CC8">
                    <w:rPr>
                      <w:rFonts w:cstheme="minorHAnsi"/>
                    </w:rPr>
                    <w:t>At and Above</w:t>
                  </w:r>
                </w:p>
              </w:tc>
            </w:tr>
            <w:tr w:rsidR="00937E88" w14:paraId="36CF7DC2" w14:textId="77777777" w:rsidTr="00BC0650">
              <w:trPr>
                <w:trHeight w:val="254"/>
              </w:trPr>
              <w:tc>
                <w:tcPr>
                  <w:tcW w:w="2557" w:type="dxa"/>
                </w:tcPr>
                <w:p w14:paraId="4946AFFF" w14:textId="77777777" w:rsidR="00937E88" w:rsidRPr="00F04CC8" w:rsidRDefault="00937E88" w:rsidP="00937E88">
                  <w:pPr>
                    <w:jc w:val="center"/>
                    <w:rPr>
                      <w:rFonts w:cstheme="minorHAnsi"/>
                    </w:rPr>
                  </w:pPr>
                  <w:r w:rsidRPr="00F04CC8">
                    <w:rPr>
                      <w:rFonts w:cstheme="minorHAnsi"/>
                    </w:rPr>
                    <w:t>1</w:t>
                  </w:r>
                </w:p>
              </w:tc>
              <w:tc>
                <w:tcPr>
                  <w:tcW w:w="2557" w:type="dxa"/>
                </w:tcPr>
                <w:p w14:paraId="37DA97F0" w14:textId="77777777" w:rsidR="00937E88" w:rsidRPr="00F04CC8" w:rsidRDefault="00937E88" w:rsidP="00937E88">
                  <w:pPr>
                    <w:pStyle w:val="ListParagraph"/>
                    <w:rPr>
                      <w:rFonts w:cstheme="minorHAnsi"/>
                    </w:rPr>
                  </w:pPr>
                </w:p>
              </w:tc>
              <w:tc>
                <w:tcPr>
                  <w:tcW w:w="2557" w:type="dxa"/>
                </w:tcPr>
                <w:p w14:paraId="5803A4E8" w14:textId="77777777" w:rsidR="00937E88" w:rsidRPr="00F04CC8" w:rsidRDefault="00937E88" w:rsidP="00937E88">
                  <w:pPr>
                    <w:ind w:left="360"/>
                    <w:rPr>
                      <w:rFonts w:cstheme="minorHAnsi"/>
                    </w:rPr>
                  </w:pPr>
                </w:p>
              </w:tc>
              <w:tc>
                <w:tcPr>
                  <w:tcW w:w="2557" w:type="dxa"/>
                </w:tcPr>
                <w:p w14:paraId="1EDA4681" w14:textId="77777777" w:rsidR="00937E88" w:rsidRPr="00F04CC8" w:rsidRDefault="00937E88" w:rsidP="00937E88">
                  <w:pPr>
                    <w:pStyle w:val="ListParagraph"/>
                    <w:rPr>
                      <w:rFonts w:cstheme="minorHAnsi"/>
                    </w:rPr>
                  </w:pPr>
                  <w:r w:rsidRPr="00954BDC">
                    <w:t>100.00% (1/1)</w:t>
                  </w:r>
                </w:p>
              </w:tc>
            </w:tr>
            <w:tr w:rsidR="00937E88" w14:paraId="7C024748" w14:textId="77777777" w:rsidTr="00BC0650">
              <w:trPr>
                <w:trHeight w:val="267"/>
              </w:trPr>
              <w:tc>
                <w:tcPr>
                  <w:tcW w:w="2557" w:type="dxa"/>
                </w:tcPr>
                <w:p w14:paraId="51184C79" w14:textId="77777777" w:rsidR="00937E88" w:rsidRDefault="00937E88" w:rsidP="00937E88">
                  <w:pPr>
                    <w:jc w:val="center"/>
                    <w:rPr>
                      <w:rFonts w:cstheme="minorHAnsi"/>
                    </w:rPr>
                  </w:pPr>
                  <w:r>
                    <w:rPr>
                      <w:rFonts w:cstheme="minorHAnsi"/>
                    </w:rPr>
                    <w:t>2</w:t>
                  </w:r>
                </w:p>
              </w:tc>
              <w:tc>
                <w:tcPr>
                  <w:tcW w:w="2557" w:type="dxa"/>
                </w:tcPr>
                <w:p w14:paraId="2C3AA55C" w14:textId="77777777" w:rsidR="00937E88" w:rsidRDefault="00937E88" w:rsidP="00937E88">
                  <w:pPr>
                    <w:rPr>
                      <w:rFonts w:cstheme="minorHAnsi"/>
                    </w:rPr>
                  </w:pPr>
                </w:p>
              </w:tc>
              <w:tc>
                <w:tcPr>
                  <w:tcW w:w="2557" w:type="dxa"/>
                </w:tcPr>
                <w:p w14:paraId="60E6875F" w14:textId="77777777" w:rsidR="00937E88" w:rsidRDefault="00937E88" w:rsidP="00937E88">
                  <w:pPr>
                    <w:jc w:val="center"/>
                    <w:rPr>
                      <w:rFonts w:cstheme="minorHAnsi"/>
                    </w:rPr>
                  </w:pPr>
                  <w:r>
                    <w:rPr>
                      <w:rFonts w:cstheme="minorHAnsi"/>
                    </w:rPr>
                    <w:t>50% (4/4)</w:t>
                  </w:r>
                </w:p>
              </w:tc>
              <w:tc>
                <w:tcPr>
                  <w:tcW w:w="2557" w:type="dxa"/>
                </w:tcPr>
                <w:p w14:paraId="06E43642" w14:textId="77777777" w:rsidR="00937E88" w:rsidRDefault="00937E88" w:rsidP="00937E88">
                  <w:pPr>
                    <w:jc w:val="center"/>
                    <w:rPr>
                      <w:rFonts w:cstheme="minorHAnsi"/>
                    </w:rPr>
                  </w:pPr>
                  <w:r>
                    <w:rPr>
                      <w:rFonts w:cstheme="minorHAnsi"/>
                    </w:rPr>
                    <w:t>50% (4/4)</w:t>
                  </w:r>
                </w:p>
              </w:tc>
            </w:tr>
            <w:tr w:rsidR="00937E88" w14:paraId="50D94CAC" w14:textId="77777777" w:rsidTr="00BC0650">
              <w:trPr>
                <w:trHeight w:val="254"/>
              </w:trPr>
              <w:tc>
                <w:tcPr>
                  <w:tcW w:w="2557" w:type="dxa"/>
                </w:tcPr>
                <w:p w14:paraId="7E759608" w14:textId="77777777" w:rsidR="00937E88" w:rsidRDefault="00937E88" w:rsidP="00937E88">
                  <w:pPr>
                    <w:jc w:val="center"/>
                    <w:rPr>
                      <w:rFonts w:cstheme="minorHAnsi"/>
                    </w:rPr>
                  </w:pPr>
                  <w:r>
                    <w:rPr>
                      <w:rFonts w:cstheme="minorHAnsi"/>
                    </w:rPr>
                    <w:t>3</w:t>
                  </w:r>
                </w:p>
              </w:tc>
              <w:tc>
                <w:tcPr>
                  <w:tcW w:w="2557" w:type="dxa"/>
                </w:tcPr>
                <w:p w14:paraId="00099AEF" w14:textId="77777777" w:rsidR="00937E88" w:rsidRDefault="00937E88" w:rsidP="00937E88">
                  <w:pPr>
                    <w:rPr>
                      <w:rFonts w:cstheme="minorHAnsi"/>
                    </w:rPr>
                  </w:pPr>
                </w:p>
              </w:tc>
              <w:tc>
                <w:tcPr>
                  <w:tcW w:w="2557" w:type="dxa"/>
                </w:tcPr>
                <w:p w14:paraId="0B897734" w14:textId="77777777" w:rsidR="00937E88" w:rsidRDefault="00937E88" w:rsidP="00937E88">
                  <w:pPr>
                    <w:jc w:val="center"/>
                    <w:rPr>
                      <w:rFonts w:cstheme="minorHAnsi"/>
                    </w:rPr>
                  </w:pPr>
                  <w:r>
                    <w:rPr>
                      <w:rFonts w:cstheme="minorHAnsi"/>
                    </w:rPr>
                    <w:t>100% (3/3)</w:t>
                  </w:r>
                </w:p>
              </w:tc>
              <w:tc>
                <w:tcPr>
                  <w:tcW w:w="2557" w:type="dxa"/>
                </w:tcPr>
                <w:p w14:paraId="33AEB818" w14:textId="77777777" w:rsidR="00937E88" w:rsidRDefault="00937E88" w:rsidP="00937E88">
                  <w:pPr>
                    <w:jc w:val="center"/>
                    <w:rPr>
                      <w:rFonts w:cstheme="minorHAnsi"/>
                    </w:rPr>
                  </w:pPr>
                </w:p>
              </w:tc>
            </w:tr>
            <w:tr w:rsidR="00937E88" w14:paraId="4119ABA8" w14:textId="77777777" w:rsidTr="00BC0650">
              <w:trPr>
                <w:trHeight w:val="254"/>
              </w:trPr>
              <w:tc>
                <w:tcPr>
                  <w:tcW w:w="2557" w:type="dxa"/>
                </w:tcPr>
                <w:p w14:paraId="3B5F55F3" w14:textId="77777777" w:rsidR="00937E88" w:rsidRDefault="00937E88" w:rsidP="00937E88">
                  <w:pPr>
                    <w:jc w:val="center"/>
                    <w:rPr>
                      <w:rFonts w:cstheme="minorHAnsi"/>
                    </w:rPr>
                  </w:pPr>
                  <w:r>
                    <w:rPr>
                      <w:rFonts w:cstheme="minorHAnsi"/>
                    </w:rPr>
                    <w:t>4</w:t>
                  </w:r>
                </w:p>
              </w:tc>
              <w:tc>
                <w:tcPr>
                  <w:tcW w:w="2557" w:type="dxa"/>
                </w:tcPr>
                <w:p w14:paraId="53712198" w14:textId="77777777" w:rsidR="00937E88" w:rsidRDefault="00937E88" w:rsidP="00937E88">
                  <w:pPr>
                    <w:rPr>
                      <w:rFonts w:cstheme="minorHAnsi"/>
                    </w:rPr>
                  </w:pPr>
                </w:p>
              </w:tc>
              <w:tc>
                <w:tcPr>
                  <w:tcW w:w="2557" w:type="dxa"/>
                </w:tcPr>
                <w:p w14:paraId="3622A7A6" w14:textId="77777777" w:rsidR="00937E88" w:rsidRDefault="00937E88" w:rsidP="00937E88">
                  <w:pPr>
                    <w:jc w:val="center"/>
                    <w:rPr>
                      <w:rFonts w:cstheme="minorHAnsi"/>
                    </w:rPr>
                  </w:pPr>
                  <w:r>
                    <w:rPr>
                      <w:rFonts w:cstheme="minorHAnsi"/>
                    </w:rPr>
                    <w:t>66% (6/9)</w:t>
                  </w:r>
                </w:p>
              </w:tc>
              <w:tc>
                <w:tcPr>
                  <w:tcW w:w="2557" w:type="dxa"/>
                </w:tcPr>
                <w:p w14:paraId="6A866691" w14:textId="77777777" w:rsidR="00937E88" w:rsidRDefault="00937E88" w:rsidP="00937E88">
                  <w:pPr>
                    <w:jc w:val="center"/>
                    <w:rPr>
                      <w:rFonts w:cstheme="minorHAnsi"/>
                    </w:rPr>
                  </w:pPr>
                  <w:r>
                    <w:rPr>
                      <w:rFonts w:cstheme="minorHAnsi"/>
                    </w:rPr>
                    <w:t>33% (3/9)</w:t>
                  </w:r>
                </w:p>
              </w:tc>
            </w:tr>
            <w:tr w:rsidR="00937E88" w14:paraId="6FE43BCA" w14:textId="77777777" w:rsidTr="00BC0650">
              <w:trPr>
                <w:trHeight w:val="70"/>
              </w:trPr>
              <w:tc>
                <w:tcPr>
                  <w:tcW w:w="2557" w:type="dxa"/>
                </w:tcPr>
                <w:p w14:paraId="10DB23DA" w14:textId="77777777" w:rsidR="00937E88" w:rsidRDefault="00937E88" w:rsidP="00937E88">
                  <w:pPr>
                    <w:jc w:val="center"/>
                    <w:rPr>
                      <w:rFonts w:cstheme="minorHAnsi"/>
                    </w:rPr>
                  </w:pPr>
                  <w:r>
                    <w:rPr>
                      <w:rFonts w:cstheme="minorHAnsi"/>
                    </w:rPr>
                    <w:t>5</w:t>
                  </w:r>
                </w:p>
              </w:tc>
              <w:tc>
                <w:tcPr>
                  <w:tcW w:w="2557" w:type="dxa"/>
                </w:tcPr>
                <w:p w14:paraId="41FB112D" w14:textId="77777777" w:rsidR="00937E88" w:rsidRDefault="00937E88" w:rsidP="00937E88">
                  <w:pPr>
                    <w:rPr>
                      <w:rFonts w:cstheme="minorHAnsi"/>
                    </w:rPr>
                  </w:pPr>
                </w:p>
              </w:tc>
              <w:tc>
                <w:tcPr>
                  <w:tcW w:w="2557" w:type="dxa"/>
                </w:tcPr>
                <w:p w14:paraId="57CEC0EA" w14:textId="77777777" w:rsidR="00937E88" w:rsidRDefault="00937E88" w:rsidP="00937E88">
                  <w:pPr>
                    <w:jc w:val="center"/>
                    <w:rPr>
                      <w:rFonts w:cstheme="minorHAnsi"/>
                    </w:rPr>
                  </w:pPr>
                  <w:r>
                    <w:rPr>
                      <w:rFonts w:cstheme="minorHAnsi"/>
                    </w:rPr>
                    <w:t>57% (4/7)</w:t>
                  </w:r>
                </w:p>
              </w:tc>
              <w:tc>
                <w:tcPr>
                  <w:tcW w:w="2557" w:type="dxa"/>
                </w:tcPr>
                <w:p w14:paraId="31CBBB7B" w14:textId="77777777" w:rsidR="00937E88" w:rsidRDefault="00937E88" w:rsidP="00937E88">
                  <w:pPr>
                    <w:jc w:val="center"/>
                    <w:rPr>
                      <w:rFonts w:cstheme="minorHAnsi"/>
                    </w:rPr>
                  </w:pPr>
                  <w:r>
                    <w:rPr>
                      <w:rFonts w:cstheme="minorHAnsi"/>
                    </w:rPr>
                    <w:t>43% (3/7)</w:t>
                  </w:r>
                </w:p>
              </w:tc>
            </w:tr>
            <w:tr w:rsidR="00937E88" w14:paraId="718EF9ED" w14:textId="77777777" w:rsidTr="00BC0650">
              <w:trPr>
                <w:trHeight w:val="254"/>
              </w:trPr>
              <w:tc>
                <w:tcPr>
                  <w:tcW w:w="2557" w:type="dxa"/>
                </w:tcPr>
                <w:p w14:paraId="21D6B9FB" w14:textId="77777777" w:rsidR="00937E88" w:rsidRDefault="00937E88" w:rsidP="00937E88">
                  <w:pPr>
                    <w:jc w:val="center"/>
                    <w:rPr>
                      <w:rFonts w:cstheme="minorHAnsi"/>
                    </w:rPr>
                  </w:pPr>
                  <w:r>
                    <w:rPr>
                      <w:rFonts w:cstheme="minorHAnsi"/>
                    </w:rPr>
                    <w:t>6</w:t>
                  </w:r>
                </w:p>
              </w:tc>
              <w:tc>
                <w:tcPr>
                  <w:tcW w:w="2557" w:type="dxa"/>
                </w:tcPr>
                <w:p w14:paraId="45A9A6ED" w14:textId="77777777" w:rsidR="00937E88" w:rsidRDefault="00937E88" w:rsidP="00937E88">
                  <w:pPr>
                    <w:rPr>
                      <w:rFonts w:cstheme="minorHAnsi"/>
                    </w:rPr>
                  </w:pPr>
                </w:p>
              </w:tc>
              <w:tc>
                <w:tcPr>
                  <w:tcW w:w="2557" w:type="dxa"/>
                </w:tcPr>
                <w:p w14:paraId="1875BCA6" w14:textId="77777777" w:rsidR="00937E88" w:rsidRDefault="00937E88" w:rsidP="00937E88">
                  <w:pPr>
                    <w:jc w:val="center"/>
                    <w:rPr>
                      <w:rFonts w:cstheme="minorHAnsi"/>
                    </w:rPr>
                  </w:pPr>
                  <w:r>
                    <w:rPr>
                      <w:rFonts w:cstheme="minorHAnsi"/>
                    </w:rPr>
                    <w:t>33% (2/6)</w:t>
                  </w:r>
                </w:p>
              </w:tc>
              <w:tc>
                <w:tcPr>
                  <w:tcW w:w="2557" w:type="dxa"/>
                </w:tcPr>
                <w:p w14:paraId="77D2EB04" w14:textId="77777777" w:rsidR="00937E88" w:rsidRDefault="00937E88" w:rsidP="00937E88">
                  <w:pPr>
                    <w:jc w:val="center"/>
                    <w:rPr>
                      <w:rFonts w:cstheme="minorHAnsi"/>
                    </w:rPr>
                  </w:pPr>
                  <w:r>
                    <w:rPr>
                      <w:rFonts w:cstheme="minorHAnsi"/>
                    </w:rPr>
                    <w:t>66% (4/6)</w:t>
                  </w:r>
                </w:p>
              </w:tc>
            </w:tr>
          </w:tbl>
          <w:p w14:paraId="09B63D98" w14:textId="77777777" w:rsidR="00937E88" w:rsidRPr="00954BDC" w:rsidRDefault="00937E88" w:rsidP="00FF1C34">
            <w:pPr>
              <w:rPr>
                <w:rFonts w:cstheme="minorHAnsi"/>
              </w:rPr>
            </w:pPr>
          </w:p>
          <w:p w14:paraId="08FE7D3E" w14:textId="3A6FD3BB" w:rsidR="006C78E5" w:rsidRPr="00954BDC" w:rsidRDefault="006C78E5" w:rsidP="00FF1C34">
            <w:pPr>
              <w:rPr>
                <w:rFonts w:cstheme="minorHAnsi"/>
              </w:rPr>
            </w:pPr>
            <w:r>
              <w:rPr>
                <w:rFonts w:cstheme="minorHAnsi"/>
              </w:rPr>
              <w:lastRenderedPageBreak/>
              <w:t xml:space="preserve">Children are receiving fist class teaching with support from the TA to support prior learning. All teachers are teaching maths mastery and the support of Maths Meetings to boost mental maths concepts. </w:t>
            </w:r>
          </w:p>
          <w:p w14:paraId="2A7D5546" w14:textId="22EAE10D" w:rsidR="00E66558" w:rsidRDefault="00E6655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92C1DAA" w:rsidR="00E66558" w:rsidRDefault="00E96BA8">
            <w:pPr>
              <w:pStyle w:val="TableRow"/>
            </w:pPr>
            <w:r>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0DDBC32" w:rsidR="00E66558" w:rsidRDefault="00E96BA8">
            <w:pPr>
              <w:pStyle w:val="TableRow"/>
            </w:pPr>
            <w:r>
              <w:t>Seesaw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E96BA8" w14:paraId="0BC53A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4C97C" w14:textId="769D5E3E" w:rsidR="00E96BA8" w:rsidRDefault="00E96BA8">
            <w:pPr>
              <w:pStyle w:val="TableRow"/>
            </w:pPr>
            <w:r>
              <w:t>Rising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62CE" w14:textId="77777777" w:rsidR="00E96BA8" w:rsidRDefault="00E96BA8">
            <w:pPr>
              <w:pStyle w:val="TableRowCentered"/>
              <w:jc w:val="left"/>
            </w:pPr>
          </w:p>
        </w:tc>
      </w:tr>
      <w:tr w:rsidR="00E96BA8" w14:paraId="2E2DA8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CF5B" w14:textId="05497E5C" w:rsidR="00E96BA8" w:rsidRDefault="00E96BA8">
            <w:pPr>
              <w:pStyle w:val="TableRow"/>
            </w:pPr>
            <w:r>
              <w:t>Numbox</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1BB5D" w14:textId="77777777" w:rsidR="00E96BA8" w:rsidRDefault="00E96BA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738884E" w:rsidR="005E28A4" w:rsidRDefault="009D71E8">
    <w:pPr>
      <w:pStyle w:val="Footer"/>
      <w:ind w:firstLine="4513"/>
    </w:pPr>
    <w:r>
      <w:fldChar w:fldCharType="begin"/>
    </w:r>
    <w:r>
      <w:instrText xml:space="preserve"> PAGE </w:instrText>
    </w:r>
    <w:r>
      <w:fldChar w:fldCharType="separate"/>
    </w:r>
    <w:r w:rsidR="004C2349">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C23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2A6139E"/>
    <w:multiLevelType w:val="hybridMultilevel"/>
    <w:tmpl w:val="6EF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06CE"/>
    <w:multiLevelType w:val="hybridMultilevel"/>
    <w:tmpl w:val="542C8E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4B6B023A"/>
    <w:multiLevelType w:val="hybridMultilevel"/>
    <w:tmpl w:val="4DB69C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BF639FF"/>
    <w:multiLevelType w:val="hybridMultilevel"/>
    <w:tmpl w:val="756C13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2F2F08"/>
    <w:multiLevelType w:val="hybridMultilevel"/>
    <w:tmpl w:val="EB0E2F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3"/>
  </w:num>
  <w:num w:numId="8">
    <w:abstractNumId w:val="17"/>
  </w:num>
  <w:num w:numId="9">
    <w:abstractNumId w:val="15"/>
  </w:num>
  <w:num w:numId="10">
    <w:abstractNumId w:val="14"/>
  </w:num>
  <w:num w:numId="11">
    <w:abstractNumId w:val="2"/>
  </w:num>
  <w:num w:numId="12">
    <w:abstractNumId w:val="16"/>
  </w:num>
  <w:num w:numId="13">
    <w:abstractNumId w:val="11"/>
  </w:num>
  <w:num w:numId="14">
    <w:abstractNumId w:val="8"/>
  </w:num>
  <w:num w:numId="15">
    <w:abstractNumId w:val="12"/>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3DB9"/>
    <w:rsid w:val="00066B73"/>
    <w:rsid w:val="00120AB1"/>
    <w:rsid w:val="002E76D0"/>
    <w:rsid w:val="00305C29"/>
    <w:rsid w:val="003754AB"/>
    <w:rsid w:val="004044AA"/>
    <w:rsid w:val="004C2349"/>
    <w:rsid w:val="00547CBE"/>
    <w:rsid w:val="005846BB"/>
    <w:rsid w:val="005D6225"/>
    <w:rsid w:val="006B0F69"/>
    <w:rsid w:val="006C78E5"/>
    <w:rsid w:val="006E7FB1"/>
    <w:rsid w:val="00741B9E"/>
    <w:rsid w:val="007C2F04"/>
    <w:rsid w:val="00937E88"/>
    <w:rsid w:val="009778B1"/>
    <w:rsid w:val="009D71E8"/>
    <w:rsid w:val="00A421BE"/>
    <w:rsid w:val="00BB0D1F"/>
    <w:rsid w:val="00CF15F4"/>
    <w:rsid w:val="00D33FE5"/>
    <w:rsid w:val="00D61F19"/>
    <w:rsid w:val="00E344A9"/>
    <w:rsid w:val="00E66558"/>
    <w:rsid w:val="00E96BA8"/>
    <w:rsid w:val="00FF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F1C34"/>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Crawford, Maxine</cp:lastModifiedBy>
  <cp:revision>8</cp:revision>
  <cp:lastPrinted>2014-09-17T13:26:00Z</cp:lastPrinted>
  <dcterms:created xsi:type="dcterms:W3CDTF">2021-09-20T11:49:00Z</dcterms:created>
  <dcterms:modified xsi:type="dcterms:W3CDTF">2021-11-05T10:37:00Z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